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32"/>
          <w:szCs w:val="32"/>
        </w:rPr>
        <w:t xml:space="preserve">LEGITIMATE LIMITS ON ENERGY AND DATA CENTER DEVELOPMENT</w:t>
      </w:r>
    </w:p>
    <w:p>
      <w:pPr>
        <w:spacing w:after="120"/>
        <w:jc w:val="center"/>
      </w:pPr>
      <w:r>
        <w:rPr>
          <w:rFonts w:ascii="Calibri" w:cs="Calibri" w:eastAsia="Calibri" w:hAnsi="Calibri"/>
          <w:b/>
          <w:bCs/>
          <w:sz w:val="22"/>
          <w:szCs w:val="22"/>
        </w:rPr>
        <w:t xml:space="preserve">A Brief on Constitutional Authority, the Two Views of Liberty, and Ordered Liberty as the Governing System</w:t>
      </w:r>
    </w:p>
    <w:p>
      <w:pPr>
        <w:spacing w:after="200"/>
        <w:jc w:val="center"/>
      </w:pPr>
      <w:r>
        <w:rPr>
          <w:rFonts w:ascii="Calibri" w:cs="Calibri" w:eastAsia="Calibri" w:hAnsi="Calibri"/>
          <w:sz w:val="20"/>
          <w:szCs w:val="20"/>
        </w:rPr>
        <w:t xml:space="preserve">Jeff Pierson | July 2026 | Jerome County, Idaho</w:t>
      </w:r>
    </w:p>
    <w:p>
      <w:pPr>
        <w:spacing w:after="120" w:before="300"/>
      </w:pPr>
      <w:r>
        <w:rPr>
          <w:rFonts w:ascii="Calibri" w:cs="Calibri" w:eastAsia="Calibri" w:hAnsi="Calibri"/>
          <w:b/>
          <w:bCs/>
          <w:color w:val="1F3864"/>
          <w:sz w:val="25"/>
          <w:szCs w:val="25"/>
        </w:rPr>
        <w:t xml:space="preserve">I. THE QUESTION</w:t>
      </w:r>
    </w:p>
    <w:p>
      <w:pPr>
        <w:spacing w:after="160" w:line="300"/>
      </w:pPr>
      <w:r>
        <w:rPr>
          <w:rFonts w:ascii="Calibri" w:cs="Calibri" w:eastAsia="Calibri" w:hAnsi="Calibri"/>
          <w:sz w:val="22"/>
          <w:szCs w:val="22"/>
        </w:rPr>
        <w:t xml:space="preserve">What limitations on energy and data center growth are legitimate, on private land and on public land, and by what standard is legitimacy measured? This brief answers in four layers. The constitutional layer defines what government may do. The two views of liberty define which uses of that power protect liberty and which quietly replace it. Ordered liberty is the system that holds the whole together: not a third kind of liberty, but the covenant of just law, accountable authority, and mutual restraint within which liberty as protection survives.</w:t>
      </w:r>
    </w:p>
    <w:p>
      <w:pPr>
        <w:spacing w:after="120" w:before="300"/>
      </w:pPr>
      <w:r>
        <w:rPr>
          <w:rFonts w:ascii="Calibri" w:cs="Calibri" w:eastAsia="Calibri" w:hAnsi="Calibri"/>
          <w:b/>
          <w:bCs/>
          <w:color w:val="1F3864"/>
          <w:sz w:val="25"/>
          <w:szCs w:val="25"/>
        </w:rPr>
        <w:t xml:space="preserve">II. THE CONSTITUTIONAL LAYER: WHAT GOVERNMENT MAY DO</w:t>
      </w:r>
    </w:p>
    <w:p>
      <w:pPr>
        <w:spacing w:after="100" w:before="180"/>
      </w:pPr>
      <w:r>
        <w:rPr>
          <w:rFonts w:ascii="Calibri" w:cs="Calibri" w:eastAsia="Calibri" w:hAnsi="Calibri"/>
          <w:b/>
          <w:bCs/>
          <w:color w:val="2E5395"/>
          <w:sz w:val="22"/>
          <w:szCs w:val="22"/>
        </w:rPr>
        <w:t xml:space="preserve">A. Private Land</w:t>
      </w:r>
    </w:p>
    <w:p>
      <w:pPr>
        <w:spacing w:after="160" w:line="300"/>
      </w:pPr>
      <w:r>
        <w:rPr>
          <w:rFonts w:ascii="Calibri" w:cs="Calibri" w:eastAsia="Calibri" w:hAnsi="Calibri"/>
          <w:sz w:val="22"/>
          <w:szCs w:val="22"/>
        </w:rPr>
        <w:t xml:space="preserve">The police power authorizes counties to regulate land use for public health, safety, and welfare (Village of Euclid v. Ambler Realty Co., 272 U.S. 365 (1926)), and in Idaho that authority is exercised through the Local Land Use Planning Act, Idaho Code 67-6501 et seq. Four constitutional limits discipline it. First, no arbitrary restraint: liberty implies the absence of arbitrary restraint, not immunity from reasonable regulation (Chicago, Burlington &amp; Quincy R. Co. v. McGuire, 219 U.S. 549, 567 (1911)), so every standard must rest on evidence and rational connection to a legitimate purpose. Second, no taking without compensation: regulation may limit the manner of use but may not destroy all economically beneficial use (Penn Central Transportation Co. v. City of New York, 438 U.S. 104 (1978); Lucas v. South Carolina Coastal Council, 505 U.S. 1003 (1992)). Denying a 400-megawatt installation on prime farmland is not a taking where agricultural use remains. Third, nexus and rough proportionality: conditions on a permit must correspond to documented impacts of the project and be calibrated to their scale (Nollan v. California Coastal Commission, 483 U.S. 825 (1987); Dolan v. City of Tigard, 512 U.S. 374 (1994)). Fourth, procedural due process and equal protection: real notice, a meaningful hearing, findings of fact, and one standard applied to every applicant, subsidized or not.</w:t>
      </w:r>
    </w:p>
    <w:p>
      <w:pPr>
        <w:spacing w:after="100" w:before="180"/>
      </w:pPr>
      <w:r>
        <w:rPr>
          <w:rFonts w:ascii="Calibri" w:cs="Calibri" w:eastAsia="Calibri" w:hAnsi="Calibri"/>
          <w:b/>
          <w:bCs/>
          <w:color w:val="2E5395"/>
          <w:sz w:val="22"/>
          <w:szCs w:val="22"/>
        </w:rPr>
        <w:t xml:space="preserve">B. Public Land</w:t>
      </w:r>
    </w:p>
    <w:p>
      <w:pPr>
        <w:spacing w:after="160" w:line="300"/>
      </w:pPr>
      <w:r>
        <w:rPr>
          <w:rFonts w:ascii="Calibri" w:cs="Calibri" w:eastAsia="Calibri" w:hAnsi="Calibri"/>
          <w:sz w:val="22"/>
          <w:szCs w:val="22"/>
        </w:rPr>
        <w:t xml:space="preserve">On public land the analysis changes character. Government acts there as proprietor and trustee, not as regulator of someone else's sphere, so the takings framework largely drops out and fiduciary limits take its place. State endowment lands are held in trust for named beneficiaries, and federal lands are governed by statutory multiple-use and disposal standards. The legitimate limits are therefore trust limits: siting decisions must serve the beneficiaries and the public at full value, through competitive and transparent processes, with no below-market conveyances or concealed abatements, and with the same harm standards applied where a project on public ground exports noise, water draw, traffic, or grid costs across the boundary onto private neighbors. A sweetheart lease on public land is not economic development. It is the purchase of public authority, and what is purchased is no longer accountable.</w:t>
      </w:r>
    </w:p>
    <w:p>
      <w:pPr>
        <w:spacing w:after="120" w:before="300"/>
      </w:pPr>
      <w:r>
        <w:rPr>
          <w:rFonts w:ascii="Calibri" w:cs="Calibri" w:eastAsia="Calibri" w:hAnsi="Calibri"/>
          <w:b/>
          <w:bCs/>
          <w:color w:val="1F3864"/>
          <w:sz w:val="25"/>
          <w:szCs w:val="25"/>
        </w:rPr>
        <w:t xml:space="preserve">III. THE TWO VIEWS OF LIBERTY: WHICH LIMITS PROTECT AND WHICH REPLACE</w:t>
      </w:r>
    </w:p>
    <w:p>
      <w:pPr>
        <w:spacing w:after="100" w:before="180"/>
      </w:pPr>
      <w:r>
        <w:rPr>
          <w:rFonts w:ascii="Calibri" w:cs="Calibri" w:eastAsia="Calibri" w:hAnsi="Calibri"/>
          <w:b/>
          <w:bCs/>
          <w:color w:val="2E5395"/>
          <w:sz w:val="22"/>
          <w:szCs w:val="22"/>
        </w:rPr>
        <w:t xml:space="preserve">A. Limits That Protect (Liberty as Protection)</w:t>
      </w:r>
    </w:p>
    <w:p>
      <w:pPr>
        <w:spacing w:after="160" w:line="300"/>
      </w:pPr>
      <w:r>
        <w:rPr>
          <w:rFonts w:ascii="Calibri" w:cs="Calibri" w:eastAsia="Calibri" w:hAnsi="Calibri"/>
          <w:sz w:val="22"/>
          <w:szCs w:val="22"/>
        </w:rPr>
        <w:t xml:space="preserve">On the first view, a property right is a protected sphere, and the legitimate boundary of every sphere is harm to a neighbor's equal sphere: sic utere tuo ut alienum non laedas. Limitations are legitimate when they prevent or internalize demonstrable, material harm, with the burden of proof on those asserting it. For energy and data projects that means: documented property value diminution supported by peer-reviewed evidence; noise above health-protective thresholds at the property line; groundwater withdrawal from a shared and already-deficient aquifer; irreversible destruction of Class I and II soils, where irreversibility is what converts an effect into an intergenerational harm; and infrastructure and utility rate costs shifted onto ratepayers who never consented. Requiring a developer to carry those costs restrains no right. It enforces everyone else's.</w:t>
      </w:r>
    </w:p>
    <w:p>
      <w:pPr>
        <w:spacing w:after="160" w:line="300"/>
      </w:pPr>
      <w:r>
        <w:rPr>
          <w:rFonts w:ascii="Calibri" w:cs="Calibri" w:eastAsia="Calibri" w:hAnsi="Calibri"/>
          <w:sz w:val="22"/>
          <w:szCs w:val="22"/>
        </w:rPr>
        <w:t xml:space="preserve">By the same standard, limitations are illegitimate when the boundary shifts from harm to effect: aesthetic preference, neighborhood character as taste, comprehensive plan vision, or majority sentiment standing alone. Nearly everything affects neighbors. A government that polices effects rather than proven harms has flipped the presumption, converted every right into a license, and made itself landlord of the county.</w:t>
      </w:r>
    </w:p>
    <w:p>
      <w:pPr>
        <w:spacing w:after="100" w:before="180"/>
      </w:pPr>
      <w:r>
        <w:rPr>
          <w:rFonts w:ascii="Calibri" w:cs="Calibri" w:eastAsia="Calibri" w:hAnsi="Calibri"/>
          <w:b/>
          <w:bCs/>
          <w:color w:val="2E5395"/>
          <w:sz w:val="22"/>
          <w:szCs w:val="22"/>
        </w:rPr>
        <w:t xml:space="preserve">B. Limits to Guard Against (Liberty as Provision)</w:t>
      </w:r>
    </w:p>
    <w:p>
      <w:pPr>
        <w:spacing w:after="160" w:line="300"/>
      </w:pPr>
      <w:r>
        <w:rPr>
          <w:rFonts w:ascii="Calibri" w:cs="Calibri" w:eastAsia="Calibri" w:hAnsi="Calibri"/>
          <w:sz w:val="22"/>
          <w:szCs w:val="22"/>
        </w:rPr>
        <w:t xml:space="preserve">On the second view, liberty is a benefit delivered by authority, and the delivery always arrives with the same instruments: tax abatements negotiated out of public sight, incentives that socialize a private project's costs, notice engineered to minimize objection, and the claim that officials know the community's true interest better than the community knows its own expressed one. These are not limitations on growth. They are limitations on consent, imposed in growth's name. The remedy is not to prohibit development but to refuse the impersonation: full disclosure of every abatement before any hearing, notification matched to the actual impact footprint, and no approval justified by benefits to some that are purchased with uncompensated harms to others.</w:t>
      </w:r>
    </w:p>
    <w:p>
      <w:pPr>
        <w:spacing w:after="120" w:before="300"/>
      </w:pPr>
      <w:r>
        <w:rPr>
          <w:rFonts w:ascii="Calibri" w:cs="Calibri" w:eastAsia="Calibri" w:hAnsi="Calibri"/>
          <w:b/>
          <w:bCs/>
          <w:color w:val="1F3864"/>
          <w:sz w:val="25"/>
          <w:szCs w:val="25"/>
        </w:rPr>
        <w:t xml:space="preserve">IV. ORDERED LIBERTY: THE SYSTEM THAT HOLDS THE LINE</w:t>
      </w:r>
    </w:p>
    <w:p>
      <w:pPr>
        <w:spacing w:after="160" w:line="300"/>
      </w:pPr>
      <w:r>
        <w:rPr>
          <w:rFonts w:ascii="Calibri" w:cs="Calibri" w:eastAsia="Calibri" w:hAnsi="Calibri"/>
          <w:sz w:val="22"/>
          <w:szCs w:val="22"/>
        </w:rPr>
        <w:t xml:space="preserve">Ordered liberty is not a third concept standing beside the two views. It is the covenant within which liberty as protection survives, and it supplies the tests that turn the layers above into working government. Just law: standards must be objective, published, and evidence-based, so that outcomes turn on findings of fact rather than official discretion. Proportionality: review must escalate with the demonstrable impact footprint and nowhere else, which is what honest tiering accomplishes, preserving the presumption of liberty for small uses while requiring full review of projects whose costs reach every ratepayer. Consent: notification must match the footprint of the harm, county-wide where impacts are county-wide, because process designed not to be found is not process. Accountability: officials must justify decisions publicly, on the record, under one standard for all comers. Stewardship: for common resources that no single owner can hold, the aquifer above all, government acts as trustee for the generations that will inherit them, and no present lease payment can purchase their destruction. The Constitution does not create liberty; it orders it, and these five tests are what the ordering looks like at a county land use hearing.</w:t>
      </w:r>
    </w:p>
    <w:p>
      <w:pPr>
        <w:spacing w:after="120" w:before="300"/>
      </w:pPr>
      <w:r>
        <w:rPr>
          <w:rFonts w:ascii="Calibri" w:cs="Calibri" w:eastAsia="Calibri" w:hAnsi="Calibri"/>
          <w:b/>
          <w:bCs/>
          <w:color w:val="1F3864"/>
          <w:sz w:val="25"/>
          <w:szCs w:val="25"/>
        </w:rPr>
        <w:t xml:space="preserve">V. SUMMARY OF LEGITIMATE AND ILLEGITIMATE LIMITS</w:t>
      </w:r>
    </w:p>
    <w:p>
      <w:pPr>
        <w:spacing w:after="160" w:line="300"/>
      </w:pPr>
      <w:r>
        <w:rPr>
          <w:rFonts w:ascii="Calibri" w:cs="Calibri" w:eastAsia="Calibri" w:hAnsi="Calibri"/>
          <w:sz w:val="22"/>
          <w:szCs w:val="22"/>
        </w:rPr>
        <w:t xml:space="preserve">Legitimate on private land: harm-based standards proven by evidence (noise, water, documented value effects, cost externalization); nexus-and-proportionality conditions requiring developers to internalize their own costs; categorical protection of irreversible common resources where destruction cannot be remedied; tiered review scaled to impact; notification scaled to footprint; decommissioning security scaled to restoration cost; equal application to every applicant.</w:t>
      </w:r>
    </w:p>
    <w:p>
      <w:pPr>
        <w:spacing w:after="160" w:line="300"/>
      </w:pPr>
      <w:r>
        <w:rPr>
          <w:rFonts w:ascii="Calibri" w:cs="Calibri" w:eastAsia="Calibri" w:hAnsi="Calibri"/>
          <w:sz w:val="22"/>
          <w:szCs w:val="22"/>
        </w:rPr>
        <w:t xml:space="preserve">Legitimate on public land: fiduciary siting at full value through open competition; disclosure of every term; harm standards at the boundary identical to those governing private projects; refusal of any conveyance that trades the permanent commons for temporary revenue.</w:t>
      </w:r>
    </w:p>
    <w:p>
      <w:pPr>
        <w:spacing w:after="160" w:line="300"/>
      </w:pPr>
      <w:r>
        <w:rPr>
          <w:rFonts w:ascii="Calibri" w:cs="Calibri" w:eastAsia="Calibri" w:hAnsi="Calibri"/>
          <w:sz w:val="22"/>
          <w:szCs w:val="22"/>
        </w:rPr>
        <w:t xml:space="preserve">Illegitimate on either: effect-based and vision-based denial without proven harm; conditions lacking nexus to documented impact; prohibition of all economically beneficial use without compensation; concealed abatements and negotiated exceptions; notice designed to exclude the affected; discretionary regimes in which lawful use must be purchased case by case; and any approval reasoned from what officials declare the community would want rather than what, once fully informed, it actually says.</w:t>
      </w:r>
    </w:p>
    <w:p>
      <w:pPr>
        <w:spacing w:after="120" w:before="300"/>
      </w:pPr>
      <w:r>
        <w:rPr>
          <w:rFonts w:ascii="Calibri" w:cs="Calibri" w:eastAsia="Calibri" w:hAnsi="Calibri"/>
          <w:b/>
          <w:bCs/>
          <w:color w:val="1F3864"/>
          <w:sz w:val="25"/>
          <w:szCs w:val="25"/>
        </w:rPr>
        <w:t xml:space="preserve">VI. CONCLUSION</w:t>
      </w:r>
    </w:p>
    <w:p>
      <w:pPr>
        <w:spacing w:after="160" w:line="300"/>
      </w:pPr>
      <w:r>
        <w:rPr>
          <w:rFonts w:ascii="Calibri" w:cs="Calibri" w:eastAsia="Calibri" w:hAnsi="Calibri"/>
          <w:sz w:val="22"/>
          <w:szCs w:val="22"/>
        </w:rPr>
        <w:t xml:space="preserve">The standard is one sentence long. Government may limit energy and data center development wherever the limitation prevents proven harm to neighbors or preserves an irreplaceable commons, provided the restraint is evidence-based, proportionate, equally applied, and adopted in the open before an informed community; and government may never limit, or license, or subsidize such development merely to enact a vision, reward a favorite, or provide a benefit to some at an uncompensated cost to others. Protection or provision: every ordinance, lease, and permit picks one. The package before Jerome County picks protection, and this brief is the measure by which that claim can be tested.</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Brief_Legitimate_Limits_on_Energy_and_Data_Development-07052026_v1.docx  |  1,302 words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2026-07-05T20:20:28.020Z</dcterms:created>
  <dcterms:modified xsi:type="dcterms:W3CDTF">2026-07-05T20:20:28.021Z</dcterms:modified>
</cp:coreProperties>
</file>

<file path=docProps/custom.xml><?xml version="1.0" encoding="utf-8"?>
<Properties xmlns="http://schemas.openxmlformats.org/officeDocument/2006/custom-properties" xmlns:vt="http://schemas.openxmlformats.org/officeDocument/2006/docPropsVTypes"/>
</file>