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00"/>
        <w:jc w:val="center"/>
      </w:pPr>
      <w:r>
        <w:rPr>
          <w:rFonts w:ascii="Arial" w:cs="Arial" w:eastAsia="Arial" w:hAnsi="Arial"/>
          <w:b/>
          <w:bCs/>
          <w:i w:val="false"/>
          <w:iCs w:val="false"/>
          <w:color w:val="1F3864"/>
          <w:sz w:val="36"/>
          <w:szCs w:val="36"/>
        </w:rPr>
        <w:t xml:space="preserve">JEROME COUNTY ENERGY ORDINANCE REFORM</w:t>
      </w:r>
    </w:p>
    <w:p>
      <w:pPr>
        <w:spacing w:after="80" w:before="0" w:line="300"/>
        <w:jc w:val="center"/>
      </w:pPr>
      <w:r>
        <w:rPr>
          <w:rFonts w:ascii="Arial" w:cs="Arial" w:eastAsia="Arial" w:hAnsi="Arial"/>
          <w:b/>
          <w:bCs/>
          <w:i w:val="false"/>
          <w:iCs w:val="false"/>
          <w:color w:val="2E75B6"/>
          <w:sz w:val="26"/>
          <w:szCs w:val="26"/>
        </w:rPr>
        <w:t xml:space="preserve">The Legal, Ethical, and Moral Justification for Community Protection</w:t>
      </w:r>
    </w:p>
    <w:p>
      <w:pPr>
        <w:pBdr>
          <w:bottom w:val="single" w:color="2E75B6" w:sz="8" w:space="1"/>
        </w:pBdr>
        <w:spacing w:after="80"/>
        <w:jc w:val="center"/>
      </w:pPr>
    </w:p>
    <w:p>
      <w:pPr>
        <w:spacing w:after="300" w:before="0" w:line="300"/>
        <w:jc w:val="center"/>
      </w:pPr>
      <w:r>
        <w:rPr>
          <w:rFonts w:ascii="Arial" w:cs="Arial" w:eastAsia="Arial" w:hAnsi="Arial"/>
          <w:b w:val="false"/>
          <w:bCs w:val="false"/>
          <w:i/>
          <w:iCs/>
          <w:color w:val="666666"/>
          <w:sz w:val="20"/>
          <w:szCs w:val="20"/>
        </w:rPr>
        <w:t xml:space="preserve">Jeff Pierson  |  Confidential Solutions LLC  |  713 East Ave C, Jerome, Idaho  |  March 2026</w:t>
      </w:r>
    </w:p>
    <w:p>
      <w:pPr>
        <w:spacing w:after="250" w:before="0" w:line="300"/>
      </w:pPr>
      <w:r>
        <w:rPr>
          <w:rFonts w:ascii="Arial" w:cs="Arial" w:eastAsia="Arial" w:hAnsi="Arial"/>
          <w:b w:val="false"/>
          <w:bCs w:val="false"/>
          <w:i w:val="false"/>
          <w:iCs w:val="false"/>
          <w:sz w:val="22"/>
          <w:szCs w:val="22"/>
        </w:rPr>
        <w:t xml:space="preserve">This document establishes the legal, ethical, and moral foundations underlying the Jerome County Energy Ordinance Reform package. It demonstrates that the proposed regulations are not merely permitted by law but are affirmatively required by principles of justice, natural law, and ordered liberty that predate and transcend any statutory framework. The legal case is grounded in positive law. The ethical case is grounded in principles of fairness and justice that stand independent of what any legislature has enacted. The moral case is grounded in natural law and the obligations that human beings owe to one another, to the land, and to future generations.</w:t>
      </w:r>
    </w:p>
    <w:p>
      <w:pPr>
        <w:spacing w:after="200" w:before="300" w:line="300"/>
      </w:pPr>
      <w:r>
        <w:rPr>
          <w:rFonts w:ascii="Arial" w:cs="Arial" w:eastAsia="Arial" w:hAnsi="Arial"/>
          <w:b/>
          <w:bCs/>
          <w:i w:val="false"/>
          <w:iCs w:val="false"/>
          <w:color w:val="1F3864"/>
          <w:sz w:val="28"/>
          <w:szCs w:val="28"/>
        </w:rPr>
        <w:t xml:space="preserve">I. The Legal Foundation: Positive Law and Constitutional Authority</w:t>
      </w:r>
    </w:p>
    <w:p>
      <w:pPr>
        <w:spacing w:after="160" w:before="0" w:line="300"/>
      </w:pPr>
      <w:r>
        <w:rPr>
          <w:rFonts w:ascii="Arial" w:cs="Arial" w:eastAsia="Arial" w:hAnsi="Arial"/>
          <w:b w:val="false"/>
          <w:bCs w:val="false"/>
          <w:i w:val="false"/>
          <w:iCs w:val="false"/>
          <w:sz w:val="22"/>
          <w:szCs w:val="22"/>
        </w:rPr>
        <w:t xml:space="preserve">The legal authority for Jerome County’s proposed ordinances rests on multiple, reinforcing layers of positive law—from the United States Constitution to Idaho statute to the county’s own comprehensive planning authority.</w:t>
      </w:r>
    </w:p>
    <w:p>
      <w:pPr>
        <w:spacing w:after="120" w:before="200" w:line="300"/>
      </w:pPr>
      <w:r>
        <w:rPr>
          <w:rFonts w:ascii="Arial" w:cs="Arial" w:eastAsia="Arial" w:hAnsi="Arial"/>
          <w:b/>
          <w:bCs/>
          <w:i w:val="false"/>
          <w:iCs w:val="false"/>
          <w:color w:val="2E75B6"/>
          <w:sz w:val="24"/>
          <w:szCs w:val="24"/>
        </w:rPr>
        <w:t xml:space="preserve">A. The Police Power and Land Use Authority</w:t>
      </w:r>
    </w:p>
    <w:p>
      <w:pPr>
        <w:spacing w:after="160" w:before="0" w:line="300"/>
      </w:pPr>
      <w:r>
        <w:rPr>
          <w:rFonts w:ascii="Arial" w:cs="Arial" w:eastAsia="Arial" w:hAnsi="Arial"/>
          <w:b w:val="false"/>
          <w:bCs w:val="false"/>
          <w:i w:val="false"/>
          <w:iCs w:val="false"/>
          <w:sz w:val="22"/>
          <w:szCs w:val="22"/>
        </w:rPr>
        <w:t xml:space="preserve">The authority of government to regulate land use for the protection of public health, safety, and general welfare is among the oldest and most firmly established principles in American law. The United States Supreme Court affirmed the constitutionality of zoning in </w:t>
      </w:r>
      <w:r>
        <w:rPr>
          <w:rFonts w:ascii="Arial" w:cs="Arial" w:eastAsia="Arial" w:hAnsi="Arial"/>
          <w:b/>
          <w:bCs/>
          <w:sz w:val="22"/>
          <w:szCs w:val="22"/>
        </w:rPr>
        <w:t xml:space="preserve">Village of Euclid v. Ambler Realty Co., 272 U.S. 365 (1926)</w:t>
      </w:r>
      <w:r>
        <w:rPr>
          <w:rFonts w:ascii="Arial" w:cs="Arial" w:eastAsia="Arial" w:hAnsi="Arial"/>
          <w:b w:val="false"/>
          <w:bCs w:val="false"/>
          <w:i w:val="false"/>
          <w:iCs w:val="false"/>
          <w:sz w:val="22"/>
          <w:szCs w:val="22"/>
        </w:rPr>
        <w:t xml:space="preserve">, holding that municipalities may restrict land uses to protect the character and welfare of communities. This power is not a delegation from the federal government—it is an inherent attribute of sovereignty retained by the states and exercised through their political subdivisions.</w:t>
      </w:r>
    </w:p>
    <w:p>
      <w:pPr>
        <w:spacing w:after="120" w:before="0" w:line="300"/>
        <w:ind w:left="720"/>
      </w:pPr>
      <w:r>
        <w:rPr>
          <w:rFonts w:ascii="Arial" w:cs="Arial" w:eastAsia="Arial" w:hAnsi="Arial"/>
          <w:b w:val="false"/>
          <w:bCs w:val="false"/>
          <w:i/>
          <w:iCs/>
          <w:sz w:val="20"/>
          <w:szCs w:val="20"/>
        </w:rPr>
        <w:t xml:space="preserve">Village of Euclid v. Ambler Realty Co., 272 U.S. 365, 387 (1926): "The ordinance now under review, and all similar laws and regulations, must find their justification in some aspect of the police power, asserted for the public welfare."</w:t>
      </w:r>
    </w:p>
    <w:p>
      <w:pPr>
        <w:spacing w:after="160" w:before="0" w:line="300"/>
      </w:pPr>
      <w:r>
        <w:rPr>
          <w:rFonts w:ascii="Arial" w:cs="Arial" w:eastAsia="Arial" w:hAnsi="Arial"/>
          <w:b w:val="false"/>
          <w:bCs w:val="false"/>
          <w:i w:val="false"/>
          <w:iCs w:val="false"/>
          <w:sz w:val="22"/>
          <w:szCs w:val="22"/>
        </w:rPr>
        <w:t xml:space="preserve">In Idaho, the </w:t>
      </w:r>
      <w:r>
        <w:rPr>
          <w:rFonts w:ascii="Arial" w:cs="Arial" w:eastAsia="Arial" w:hAnsi="Arial"/>
          <w:b/>
          <w:bCs/>
          <w:sz w:val="22"/>
          <w:szCs w:val="22"/>
        </w:rPr>
        <w:t xml:space="preserve">Local Land Use Planning Act (LLUPA), Idaho Code §67-6501 et seq.</w:t>
      </w:r>
      <w:r>
        <w:rPr>
          <w:rFonts w:ascii="Arial" w:cs="Arial" w:eastAsia="Arial" w:hAnsi="Arial"/>
          <w:b w:val="false"/>
          <w:bCs w:val="false"/>
          <w:i w:val="false"/>
          <w:iCs w:val="false"/>
          <w:sz w:val="22"/>
          <w:szCs w:val="22"/>
        </w:rPr>
        <w:t xml:space="preserve">, expressly authorizes counties to adopt comprehensive plans and zoning ordinances that regulate the use of land. LLUPA requires that zoning ordinances be consistent with the comprehensive plan—ensuring that land use regulation reflects deliberate, documented policy choices rather than arbitrary action. Jerome County’s proposed Chapter 10 (Utilities) establishes the plan-level policy; Chapters 7 and 11 implement it through enforceable standards.</w:t>
      </w:r>
    </w:p>
    <w:p>
      <w:pPr>
        <w:spacing w:after="120" w:before="200" w:line="300"/>
      </w:pPr>
      <w:r>
        <w:rPr>
          <w:rFonts w:ascii="Arial" w:cs="Arial" w:eastAsia="Arial" w:hAnsi="Arial"/>
          <w:b/>
          <w:bCs/>
          <w:i w:val="false"/>
          <w:iCs w:val="false"/>
          <w:color w:val="2E75B6"/>
          <w:sz w:val="24"/>
          <w:szCs w:val="24"/>
        </w:rPr>
        <w:t xml:space="preserve">B. Constitutional Limits Are Not Barriers—They Are Guides</w:t>
      </w:r>
    </w:p>
    <w:p>
      <w:pPr>
        <w:spacing w:after="160" w:before="0" w:line="300"/>
      </w:pPr>
      <w:r>
        <w:rPr>
          <w:rFonts w:ascii="Arial" w:cs="Arial" w:eastAsia="Arial" w:hAnsi="Arial"/>
          <w:b w:val="false"/>
          <w:bCs w:val="false"/>
          <w:i w:val="false"/>
          <w:iCs w:val="false"/>
          <w:sz w:val="22"/>
          <w:szCs w:val="22"/>
        </w:rPr>
        <w:t xml:space="preserve">The constitutional framework governing land use regulation does not prohibit protective zoning. It ensures that regulation is </w:t>
      </w:r>
      <w:r>
        <w:rPr>
          <w:rFonts w:ascii="Arial" w:cs="Arial" w:eastAsia="Arial" w:hAnsi="Arial"/>
          <w:b/>
          <w:bCs/>
          <w:sz w:val="22"/>
          <w:szCs w:val="22"/>
        </w:rPr>
        <w:t xml:space="preserve">rational, proportionate, and connected to legitimate public purposes</w:t>
      </w:r>
      <w:r>
        <w:rPr>
          <w:rFonts w:ascii="Arial" w:cs="Arial" w:eastAsia="Arial" w:hAnsi="Arial"/>
          <w:b w:val="false"/>
          <w:bCs w:val="false"/>
          <w:i w:val="false"/>
          <w:iCs w:val="false"/>
          <w:sz w:val="22"/>
          <w:szCs w:val="22"/>
        </w:rPr>
        <w:t xml:space="preserve">. The proposed ordinances satisfy every constitutional requirement:</w:t>
      </w:r>
    </w:p>
    <w:p>
      <w:pPr>
        <w:spacing w:after="140" w:before="0" w:line="300"/>
        <w:ind w:left="360"/>
      </w:pPr>
      <w:r>
        <w:rPr>
          <w:rFonts w:ascii="Arial" w:cs="Arial" w:eastAsia="Arial" w:hAnsi="Arial"/>
          <w:b/>
          <w:bCs/>
          <w:sz w:val="22"/>
          <w:szCs w:val="22"/>
        </w:rPr>
        <w:t xml:space="preserve">Rational Basis: </w:t>
      </w:r>
      <w:r>
        <w:rPr>
          <w:rFonts w:ascii="Arial" w:cs="Arial" w:eastAsia="Arial" w:hAnsi="Arial"/>
          <w:b w:val="false"/>
          <w:bCs w:val="false"/>
          <w:i w:val="false"/>
          <w:iCs w:val="false"/>
          <w:sz w:val="22"/>
          <w:szCs w:val="22"/>
        </w:rPr>
        <w:t xml:space="preserve">The tiered classification system, setback requirements, noise limits, decommissioning bonds, and Class I/II soil prohibition are all rationally related to the protection of agricultural productivity, property values, groundwater resources, public health, and community character. Every standard is supported by cited evidence—USDA, NRCS, peer-reviewed research, and enacted legislation in other jurisdictions.</w:t>
      </w:r>
    </w:p>
    <w:p>
      <w:pPr>
        <w:spacing w:after="140" w:before="0" w:line="300"/>
        <w:ind w:left="360"/>
      </w:pPr>
      <w:r>
        <w:rPr>
          <w:rFonts w:ascii="Arial" w:cs="Arial" w:eastAsia="Arial" w:hAnsi="Arial"/>
          <w:b/>
          <w:bCs/>
          <w:sz w:val="22"/>
          <w:szCs w:val="22"/>
        </w:rPr>
        <w:t xml:space="preserve">Nexus (Nollan v. California Coastal Commission, 483 U.S. 825, 1987): </w:t>
      </w:r>
      <w:r>
        <w:rPr>
          <w:rFonts w:ascii="Arial" w:cs="Arial" w:eastAsia="Arial" w:hAnsi="Arial"/>
          <w:b w:val="false"/>
          <w:bCs w:val="false"/>
          <w:i w:val="false"/>
          <w:iCs w:val="false"/>
          <w:sz w:val="22"/>
          <w:szCs w:val="22"/>
        </w:rPr>
        <w:t xml:space="preserve">Every condition imposed on energy and data center development is directly related to a documented impact of that development—soil degradation, property value decline, noise, water consumption, grid strain, and agricultural conversion.</w:t>
      </w:r>
    </w:p>
    <w:p>
      <w:pPr>
        <w:spacing w:after="140" w:before="0" w:line="300"/>
        <w:ind w:left="360"/>
      </w:pPr>
      <w:r>
        <w:rPr>
          <w:rFonts w:ascii="Arial" w:cs="Arial" w:eastAsia="Arial" w:hAnsi="Arial"/>
          <w:b/>
          <w:bCs/>
          <w:sz w:val="22"/>
          <w:szCs w:val="22"/>
        </w:rPr>
        <w:t xml:space="preserve">Rough Proportionality (Dolan v. City of Tigard, 512 U.S. 374, 1994): </w:t>
      </w:r>
      <w:r>
        <w:rPr>
          <w:rFonts w:ascii="Arial" w:cs="Arial" w:eastAsia="Arial" w:hAnsi="Arial"/>
          <w:b w:val="false"/>
          <w:bCs w:val="false"/>
          <w:i w:val="false"/>
          <w:iCs w:val="false"/>
          <w:sz w:val="22"/>
          <w:szCs w:val="22"/>
        </w:rPr>
        <w:t xml:space="preserve">The 150% decommissioning bond, the escalating review requirements by tier, and the impact-specific standards are all calibrated to the scale and severity of the documented impacts. Tier 1 projects (≤50 kW) require only administrative permits. Tier 3 projects (&gt;25 MW) require full environmental review because their impacts are proportionally greater.</w:t>
      </w:r>
    </w:p>
    <w:p>
      <w:pPr>
        <w:spacing w:after="200" w:before="0" w:line="300"/>
        <w:ind w:left="360"/>
      </w:pPr>
      <w:r>
        <w:rPr>
          <w:rFonts w:ascii="Arial" w:cs="Arial" w:eastAsia="Arial" w:hAnsi="Arial"/>
          <w:b/>
          <w:bCs/>
          <w:sz w:val="22"/>
          <w:szCs w:val="22"/>
        </w:rPr>
        <w:t xml:space="preserve">No Taking Without Just Compensation (Penn Central, 438 U.S. 104, 1978): </w:t>
      </w:r>
      <w:r>
        <w:rPr>
          <w:rFonts w:ascii="Arial" w:cs="Arial" w:eastAsia="Arial" w:hAnsi="Arial"/>
          <w:b w:val="false"/>
          <w:bCs w:val="false"/>
          <w:i w:val="false"/>
          <w:iCs w:val="false"/>
          <w:sz w:val="22"/>
          <w:szCs w:val="22"/>
        </w:rPr>
        <w:t xml:space="preserve">The ordinances do not prohibit all economically beneficial use of any property. They regulate the manner and conditions under which specific high-impact industrial uses may occur. A property owner who cannot build a 500-acre solar installation on Class I farmland retains every other use that land has supported for generations. Under Penn Central’s three-factor test, this is not a taking.</w:t>
      </w:r>
    </w:p>
    <w:p>
      <w:pPr>
        <w:spacing w:after="120" w:before="200" w:line="300"/>
      </w:pPr>
      <w:r>
        <w:rPr>
          <w:rFonts w:ascii="Arial" w:cs="Arial" w:eastAsia="Arial" w:hAnsi="Arial"/>
          <w:b/>
          <w:bCs/>
          <w:i w:val="false"/>
          <w:iCs w:val="false"/>
          <w:color w:val="2E75B6"/>
          <w:sz w:val="24"/>
          <w:szCs w:val="24"/>
        </w:rPr>
        <w:t xml:space="preserve">C. State Legislative Alignment</w:t>
      </w:r>
    </w:p>
    <w:p>
      <w:pPr>
        <w:spacing w:after="160" w:before="0" w:line="300"/>
      </w:pPr>
      <w:r>
        <w:rPr>
          <w:rFonts w:ascii="Arial" w:cs="Arial" w:eastAsia="Arial" w:hAnsi="Arial"/>
          <w:b w:val="false"/>
          <w:bCs w:val="false"/>
          <w:i w:val="false"/>
          <w:iCs w:val="false"/>
          <w:sz w:val="22"/>
          <w:szCs w:val="22"/>
        </w:rPr>
        <w:t xml:space="preserve">The proposed ordinances are not only permitted by state law—they are </w:t>
      </w:r>
      <w:r>
        <w:rPr>
          <w:rFonts w:ascii="Arial" w:cs="Arial" w:eastAsia="Arial" w:hAnsi="Arial"/>
          <w:b/>
          <w:bCs/>
          <w:sz w:val="22"/>
          <w:szCs w:val="22"/>
        </w:rPr>
        <w:t xml:space="preserve">consistent with the direction Idaho’s own legislature has established</w:t>
      </w:r>
      <w:r>
        <w:rPr>
          <w:rFonts w:ascii="Arial" w:cs="Arial" w:eastAsia="Arial" w:hAnsi="Arial"/>
          <w:b w:val="false"/>
          <w:bCs w:val="false"/>
          <w:i w:val="false"/>
          <w:iCs w:val="false"/>
          <w:sz w:val="22"/>
          <w:szCs w:val="22"/>
        </w:rPr>
        <w:t xml:space="preserve">:</w:t>
      </w:r>
    </w:p>
    <w:p>
      <w:pPr>
        <w:spacing w:after="120" w:before="0" w:line="300"/>
        <w:ind w:left="360"/>
      </w:pPr>
      <w:r>
        <w:rPr>
          <w:rFonts w:ascii="Arial" w:cs="Arial" w:eastAsia="Arial" w:hAnsi="Arial"/>
          <w:b/>
          <w:bCs/>
          <w:sz w:val="22"/>
          <w:szCs w:val="22"/>
        </w:rPr>
        <w:t xml:space="preserve">SB 1133 (signed April 1, 2025): </w:t>
      </w:r>
      <w:r>
        <w:rPr>
          <w:rFonts w:ascii="Arial" w:cs="Arial" w:eastAsia="Arial" w:hAnsi="Arial"/>
          <w:b w:val="false"/>
          <w:bCs w:val="false"/>
          <w:i w:val="false"/>
          <w:iCs w:val="false"/>
          <w:sz w:val="22"/>
          <w:szCs w:val="22"/>
        </w:rPr>
        <w:t xml:space="preserve">Amends the Idaho Agricultural Protection Area Act to prohibit solar and wind energy structures on APA-designated lands. The legislature has already determined that agricultural land warrants categorical protection from energy development.</w:t>
      </w:r>
    </w:p>
    <w:p>
      <w:pPr>
        <w:spacing w:after="200" w:before="0" w:line="300"/>
        <w:ind w:left="360"/>
      </w:pPr>
      <w:r>
        <w:rPr>
          <w:rFonts w:ascii="Arial" w:cs="Arial" w:eastAsia="Arial" w:hAnsi="Arial"/>
          <w:b/>
          <w:bCs/>
          <w:sz w:val="22"/>
          <w:szCs w:val="22"/>
        </w:rPr>
        <w:t xml:space="preserve">HCR032 (adopted March 16, 2026): </w:t>
      </w:r>
      <w:r>
        <w:rPr>
          <w:rFonts w:ascii="Arial" w:cs="Arial" w:eastAsia="Arial" w:hAnsi="Arial"/>
          <w:b w:val="false"/>
          <w:bCs w:val="false"/>
          <w:i w:val="false"/>
          <w:iCs w:val="false"/>
          <w:sz w:val="22"/>
          <w:szCs w:val="22"/>
        </w:rPr>
        <w:t xml:space="preserve">Declares that energy infrastructure harming agriculture, water resources, or rural communities is “inconsistent with state policy.” Affirms that “private property rights, local land use authority, and the protection of agricultural and rural communities are paramount considerations.” This resolution does not merely permit Jerome County’s approach—it endorses it as consistent with the state’s declared priorities.</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II. The Ethical Foundation: Fairness, Justice, and the Duty of Protection</w:t>
      </w:r>
    </w:p>
    <w:p>
      <w:pPr>
        <w:spacing w:after="160" w:before="0" w:line="300"/>
      </w:pPr>
      <w:r>
        <w:rPr>
          <w:rFonts w:ascii="Arial" w:cs="Arial" w:eastAsia="Arial" w:hAnsi="Arial"/>
          <w:b w:val="false"/>
          <w:bCs w:val="false"/>
          <w:i w:val="false"/>
          <w:iCs w:val="false"/>
          <w:sz w:val="22"/>
          <w:szCs w:val="22"/>
        </w:rPr>
        <w:t xml:space="preserve">The legal case establishes what the county </w:t>
      </w:r>
      <w:r>
        <w:rPr>
          <w:rFonts w:ascii="Arial" w:cs="Arial" w:eastAsia="Arial" w:hAnsi="Arial"/>
          <w:i/>
          <w:iCs/>
          <w:sz w:val="22"/>
          <w:szCs w:val="22"/>
        </w:rPr>
        <w:t xml:space="preserve">may</w:t>
      </w:r>
      <w:r>
        <w:rPr>
          <w:rFonts w:ascii="Arial" w:cs="Arial" w:eastAsia="Arial" w:hAnsi="Arial"/>
          <w:b w:val="false"/>
          <w:bCs w:val="false"/>
          <w:i w:val="false"/>
          <w:iCs w:val="false"/>
          <w:sz w:val="22"/>
          <w:szCs w:val="22"/>
        </w:rPr>
        <w:t xml:space="preserve"> do. The ethical case establishes what the county </w:t>
      </w:r>
      <w:r>
        <w:rPr>
          <w:rFonts w:ascii="Arial" w:cs="Arial" w:eastAsia="Arial" w:hAnsi="Arial"/>
          <w:i/>
          <w:iCs/>
          <w:sz w:val="22"/>
          <w:szCs w:val="22"/>
        </w:rPr>
        <w:t xml:space="preserve">ought</w:t>
      </w:r>
      <w:r>
        <w:rPr>
          <w:rFonts w:ascii="Arial" w:cs="Arial" w:eastAsia="Arial" w:hAnsi="Arial"/>
          <w:b w:val="false"/>
          <w:bCs w:val="false"/>
          <w:i w:val="false"/>
          <w:iCs w:val="false"/>
          <w:sz w:val="22"/>
          <w:szCs w:val="22"/>
        </w:rPr>
        <w:t xml:space="preserve"> to do. These are separate inquiries. A law may be technically valid and still be unjust. Conversely, the absence of a law does not mean that harm is acceptable. The ethical principles that govern just community relations are not dependent on whether a legislature has codified them.</w:t>
      </w:r>
    </w:p>
    <w:p>
      <w:pPr>
        <w:spacing w:after="120" w:before="200" w:line="300"/>
      </w:pPr>
      <w:r>
        <w:rPr>
          <w:rFonts w:ascii="Arial" w:cs="Arial" w:eastAsia="Arial" w:hAnsi="Arial"/>
          <w:b/>
          <w:bCs/>
          <w:i w:val="false"/>
          <w:iCs w:val="false"/>
          <w:color w:val="2E75B6"/>
          <w:sz w:val="24"/>
          <w:szCs w:val="24"/>
        </w:rPr>
        <w:t xml:space="preserve">A. The Principle of Non-Harm (Sic Utere Tuo)</w:t>
      </w:r>
    </w:p>
    <w:p>
      <w:pPr>
        <w:spacing w:after="160" w:before="0" w:line="300"/>
      </w:pPr>
      <w:r>
        <w:rPr>
          <w:rFonts w:ascii="Arial" w:cs="Arial" w:eastAsia="Arial" w:hAnsi="Arial"/>
          <w:i/>
          <w:iCs/>
          <w:sz w:val="22"/>
          <w:szCs w:val="22"/>
        </w:rPr>
        <w:t xml:space="preserve">Sic utere tuo ut alienum non laedas</w:t>
      </w:r>
      <w:r>
        <w:rPr>
          <w:rFonts w:ascii="Arial" w:cs="Arial" w:eastAsia="Arial" w:hAnsi="Arial"/>
          <w:b w:val="false"/>
          <w:bCs w:val="false"/>
          <w:i w:val="false"/>
          <w:iCs w:val="false"/>
          <w:sz w:val="22"/>
          <w:szCs w:val="22"/>
        </w:rPr>
        <w:t xml:space="preserve">—"Use your own property so as not to harm another’s"—is among the oldest principles of justice in Western legal tradition. It predates the Constitution, predates the common law, and is recognized in every system of law that claims to be just. The principle establishes a simple ethical baseline: </w:t>
      </w:r>
      <w:r>
        <w:rPr>
          <w:rFonts w:ascii="Arial" w:cs="Arial" w:eastAsia="Arial" w:hAnsi="Arial"/>
          <w:b/>
          <w:bCs/>
          <w:sz w:val="22"/>
          <w:szCs w:val="22"/>
        </w:rPr>
        <w:t xml:space="preserve">no one has the right to use their property in a way that injures their neighbor</w:t>
      </w:r>
      <w:r>
        <w:rPr>
          <w:rFonts w:ascii="Arial" w:cs="Arial" w:eastAsia="Arial" w:hAnsi="Arial"/>
          <w:b w:val="false"/>
          <w:bCs w:val="false"/>
          <w:i w:val="false"/>
          <w:iCs w:val="false"/>
          <w:sz w:val="22"/>
          <w:szCs w:val="22"/>
        </w:rPr>
        <w:t xml:space="preserve">.</w:t>
      </w:r>
    </w:p>
    <w:p>
      <w:pPr>
        <w:spacing w:after="160" w:before="0" w:line="300"/>
      </w:pPr>
      <w:r>
        <w:rPr>
          <w:rFonts w:ascii="Arial" w:cs="Arial" w:eastAsia="Arial" w:hAnsi="Arial"/>
          <w:b w:val="false"/>
          <w:bCs w:val="false"/>
          <w:i w:val="false"/>
          <w:iCs w:val="false"/>
          <w:sz w:val="22"/>
          <w:szCs w:val="22"/>
        </w:rPr>
        <w:t xml:space="preserve">When a developer proposes a 500-acre solar installation or a 50-megawatt data center on agricultural land, and peer-reviewed research documents that neighboring properties will lose 4–6% of their value, that agricultural soils will suffer irreversible damage, that noise will exceed health-protective thresholds, and that the community’s shared water resources will be diminished—the question is not whether the county may regulate. The question is whether the county may ethically decline to regulate. The principle of non-harm answers that question clearly: a government that permits known, documented harm to its citizens when it has the authority to prevent that harm has failed its most basic ethical obligation.</w:t>
      </w:r>
    </w:p>
    <w:p>
      <w:pPr>
        <w:spacing w:after="120" w:before="200" w:line="300"/>
      </w:pPr>
      <w:r>
        <w:rPr>
          <w:rFonts w:ascii="Arial" w:cs="Arial" w:eastAsia="Arial" w:hAnsi="Arial"/>
          <w:b/>
          <w:bCs/>
          <w:i w:val="false"/>
          <w:iCs w:val="false"/>
          <w:color w:val="2E75B6"/>
          <w:sz w:val="24"/>
          <w:szCs w:val="24"/>
        </w:rPr>
        <w:t xml:space="preserve">B. The Principle of Informed Consent</w:t>
      </w:r>
    </w:p>
    <w:p>
      <w:pPr>
        <w:spacing w:after="160" w:before="0" w:line="300"/>
      </w:pPr>
      <w:r>
        <w:rPr>
          <w:rFonts w:ascii="Arial" w:cs="Arial" w:eastAsia="Arial" w:hAnsi="Arial"/>
          <w:b w:val="false"/>
          <w:bCs w:val="false"/>
          <w:i w:val="false"/>
          <w:iCs w:val="false"/>
          <w:sz w:val="22"/>
          <w:szCs w:val="22"/>
        </w:rPr>
        <w:t xml:space="preserve">No person should be subjected to material risk without their knowledge and meaningful opportunity to participate in the decision. This principle is foundational to medical ethics, contract law, democratic governance, and environmental justice. It applies with equal force to land use decisions that permanently alter a community’s character, economy, and resources.</w:t>
      </w:r>
    </w:p>
    <w:p>
      <w:pPr>
        <w:spacing w:after="160" w:before="0" w:line="300"/>
      </w:pPr>
      <w:r>
        <w:rPr>
          <w:rFonts w:ascii="Arial" w:cs="Arial" w:eastAsia="Arial" w:hAnsi="Arial"/>
          <w:b w:val="false"/>
          <w:bCs w:val="false"/>
          <w:i w:val="false"/>
          <w:iCs w:val="false"/>
          <w:sz w:val="22"/>
          <w:szCs w:val="22"/>
        </w:rPr>
        <w:t xml:space="preserve">Current notification requirements—typically 300 to 1,320 feet—were designed for residential subdivisions and small commercial buildings. They are </w:t>
      </w:r>
      <w:r>
        <w:rPr>
          <w:rFonts w:ascii="Arial" w:cs="Arial" w:eastAsia="Arial" w:hAnsi="Arial"/>
          <w:b/>
          <w:bCs/>
          <w:sz w:val="22"/>
          <w:szCs w:val="22"/>
        </w:rPr>
        <w:t xml:space="preserve">categorically inadequate</w:t>
      </w:r>
      <w:r>
        <w:rPr>
          <w:rFonts w:ascii="Arial" w:cs="Arial" w:eastAsia="Arial" w:hAnsi="Arial"/>
          <w:b w:val="false"/>
          <w:bCs w:val="false"/>
          <w:i w:val="false"/>
          <w:iCs w:val="false"/>
          <w:sz w:val="22"/>
          <w:szCs w:val="22"/>
        </w:rPr>
        <w:t xml:space="preserve"> for industrial facilities whose impacts extend to property values (3+ miles, per PNAS 2025), utility rates (system-wide), groundwater (aquifer-wide), and agricultural markets (county-wide). A notification radius that excludes 95% of the people affected by a decision is not notification—it is concealment. The county-wide notification requirement in the proposed ordinance is not an administrative convenience. It is an ethical imperative: the people who will bear the consequences of a decision have a right to know about it and a right to be heard.</w:t>
      </w:r>
    </w:p>
    <w:p>
      <w:pPr>
        <w:spacing w:after="120" w:before="200" w:line="300"/>
      </w:pPr>
      <w:r>
        <w:rPr>
          <w:rFonts w:ascii="Arial" w:cs="Arial" w:eastAsia="Arial" w:hAnsi="Arial"/>
          <w:b/>
          <w:bCs/>
          <w:i w:val="false"/>
          <w:iCs w:val="false"/>
          <w:color w:val="2E75B6"/>
          <w:sz w:val="24"/>
          <w:szCs w:val="24"/>
        </w:rPr>
        <w:t xml:space="preserve">C. The Principle of Intergenerational Justice</w:t>
      </w:r>
    </w:p>
    <w:p>
      <w:pPr>
        <w:spacing w:after="160" w:before="0" w:line="300"/>
      </w:pPr>
      <w:r>
        <w:rPr>
          <w:rFonts w:ascii="Arial" w:cs="Arial" w:eastAsia="Arial" w:hAnsi="Arial"/>
          <w:b w:val="false"/>
          <w:bCs w:val="false"/>
          <w:i w:val="false"/>
          <w:iCs w:val="false"/>
          <w:sz w:val="22"/>
          <w:szCs w:val="22"/>
        </w:rPr>
        <w:t xml:space="preserve">Ethical obligations run not only to present residents but to future generations. Class I and Class II agricultural soils took 10,000 to 15,000 years to form through natural processes. Once destroyed by industrial construction—compaction, excavation, chemical contamination, drainage alteration—those soils cannot be recreated on any human timescale. The USDA NRCS has documented six categories of damage. Peer-reviewed studies confirm recovery timescales of 18–30 years to permanent.</w:t>
      </w:r>
    </w:p>
    <w:p>
      <w:pPr>
        <w:spacing w:after="160" w:before="0" w:line="300"/>
      </w:pPr>
      <w:r>
        <w:rPr>
          <w:rFonts w:ascii="Arial" w:cs="Arial" w:eastAsia="Arial" w:hAnsi="Arial"/>
          <w:b w:val="false"/>
          <w:bCs w:val="false"/>
          <w:i w:val="false"/>
          <w:iCs w:val="false"/>
          <w:sz w:val="22"/>
          <w:szCs w:val="22"/>
        </w:rPr>
        <w:t xml:space="preserve">The ethical question is stark: </w:t>
      </w:r>
      <w:r>
        <w:rPr>
          <w:rFonts w:ascii="Arial" w:cs="Arial" w:eastAsia="Arial" w:hAnsi="Arial"/>
          <w:b/>
          <w:bCs/>
          <w:sz w:val="22"/>
          <w:szCs w:val="22"/>
        </w:rPr>
        <w:t xml:space="preserve">does the present generation have the right to destroy in 30 years what took nature 15,000 years to create, in exchange for a 25-year lease payment?</w:t>
      </w:r>
      <w:r>
        <w:rPr>
          <w:rFonts w:ascii="Arial" w:cs="Arial" w:eastAsia="Arial" w:hAnsi="Arial"/>
          <w:b w:val="false"/>
          <w:bCs w:val="false"/>
          <w:i w:val="false"/>
          <w:iCs w:val="false"/>
          <w:sz w:val="22"/>
          <w:szCs w:val="22"/>
        </w:rPr>
        <w:t xml:space="preserve"> The American Farmland Trust projects that 83% of utility-scale solar development will target agricultural land. If that projection holds, the cumulative loss to future generations of farmers, communities, and food production capacity is not merely regrettable—it is an intergenerational injustice that the present generation has the power and the obligation to prevent.</w:t>
      </w:r>
    </w:p>
    <w:p>
      <w:pPr>
        <w:spacing w:after="120" w:before="200" w:line="300"/>
      </w:pPr>
      <w:r>
        <w:rPr>
          <w:rFonts w:ascii="Arial" w:cs="Arial" w:eastAsia="Arial" w:hAnsi="Arial"/>
          <w:b/>
          <w:bCs/>
          <w:i w:val="false"/>
          <w:iCs w:val="false"/>
          <w:color w:val="2E75B6"/>
          <w:sz w:val="24"/>
          <w:szCs w:val="24"/>
        </w:rPr>
        <w:t xml:space="preserve">D. The Principle of Equal Protection of Rights</w:t>
      </w:r>
    </w:p>
    <w:p>
      <w:pPr>
        <w:spacing w:after="160" w:before="0" w:line="300"/>
      </w:pPr>
      <w:r>
        <w:rPr>
          <w:rFonts w:ascii="Arial" w:cs="Arial" w:eastAsia="Arial" w:hAnsi="Arial"/>
          <w:b w:val="false"/>
          <w:bCs w:val="false"/>
          <w:i w:val="false"/>
          <w:iCs w:val="false"/>
          <w:sz w:val="22"/>
          <w:szCs w:val="22"/>
        </w:rPr>
        <w:t xml:space="preserve">Every property owner in Jerome County has the same right to the quiet enjoyment, productive use, and market value of their land. When an industrial energy facility reduces the value of surrounding properties by 4–6% (PNAS 2025), the property rights of non-participating neighbors are being diminished to increase the economic return of the developer and the leasing landowner. No ethical system treats this as acceptable without the informed consent of those whose rights are being diminished.</w:t>
      </w:r>
    </w:p>
    <w:p>
      <w:pPr>
        <w:spacing w:after="160" w:before="0" w:line="300"/>
      </w:pPr>
      <w:r>
        <w:rPr>
          <w:rFonts w:ascii="Arial" w:cs="Arial" w:eastAsia="Arial" w:hAnsi="Arial"/>
          <w:b w:val="false"/>
          <w:bCs w:val="false"/>
          <w:i w:val="false"/>
          <w:iCs w:val="false"/>
          <w:sz w:val="22"/>
          <w:szCs w:val="22"/>
        </w:rPr>
        <w:t xml:space="preserve">The proposed General Welfare No-Balancing Rule for Tier 3 projects reflects this ethical principle: </w:t>
      </w:r>
      <w:r>
        <w:rPr>
          <w:rFonts w:ascii="Arial" w:cs="Arial" w:eastAsia="Arial" w:hAnsi="Arial"/>
          <w:b/>
          <w:bCs/>
          <w:sz w:val="22"/>
          <w:szCs w:val="22"/>
        </w:rPr>
        <w:t xml:space="preserve">you cannot offset the injury to one person’s rights by pointing to the benefit another person receives</w:t>
      </w:r>
      <w:r>
        <w:rPr>
          <w:rFonts w:ascii="Arial" w:cs="Arial" w:eastAsia="Arial" w:hAnsi="Arial"/>
          <w:b w:val="false"/>
          <w:bCs w:val="false"/>
          <w:i w:val="false"/>
          <w:iCs w:val="false"/>
          <w:sz w:val="22"/>
          <w:szCs w:val="22"/>
        </w:rPr>
        <w:t xml:space="preserve">. This is not novel. It is the same principle that prevents a government from condemning one person’s home to increase another person’s tax revenue. It is the principle that prevents a corporation from polluting one community’s water to reduce another community’s electricity costs. Individual rights are not subject to utilitarian balancing.</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III. The Moral Foundation: Natural Law and Ordered Liberty</w:t>
      </w:r>
    </w:p>
    <w:p>
      <w:pPr>
        <w:spacing w:after="160" w:before="0" w:line="300"/>
      </w:pPr>
      <w:r>
        <w:rPr>
          <w:rFonts w:ascii="Arial" w:cs="Arial" w:eastAsia="Arial" w:hAnsi="Arial"/>
          <w:b w:val="false"/>
          <w:bCs w:val="false"/>
          <w:i w:val="false"/>
          <w:iCs w:val="false"/>
          <w:sz w:val="22"/>
          <w:szCs w:val="22"/>
        </w:rPr>
        <w:t xml:space="preserve">The legal and ethical arguments above operate within the framework of positive law and reasoned moral philosophy. But the strongest foundation for community protection lies deeper—in the principles of natural law and ordered liberty that the American constitutional system was designed to embody, and which exist independent of any government’s decision to recognize them.</w:t>
      </w:r>
    </w:p>
    <w:p>
      <w:pPr>
        <w:spacing w:after="120" w:before="200" w:line="300"/>
      </w:pPr>
      <w:r>
        <w:rPr>
          <w:rFonts w:ascii="Arial" w:cs="Arial" w:eastAsia="Arial" w:hAnsi="Arial"/>
          <w:b/>
          <w:bCs/>
          <w:i w:val="false"/>
          <w:iCs w:val="false"/>
          <w:color w:val="2E75B6"/>
          <w:sz w:val="24"/>
          <w:szCs w:val="24"/>
        </w:rPr>
        <w:t xml:space="preserve">A. Natural Law: Rights That Precede Government</w:t>
      </w:r>
    </w:p>
    <w:p>
      <w:pPr>
        <w:spacing w:after="160" w:before="0" w:line="300"/>
      </w:pPr>
      <w:r>
        <w:rPr>
          <w:rFonts w:ascii="Arial" w:cs="Arial" w:eastAsia="Arial" w:hAnsi="Arial"/>
          <w:b w:val="false"/>
          <w:bCs w:val="false"/>
          <w:i w:val="false"/>
          <w:iCs w:val="false"/>
          <w:sz w:val="22"/>
          <w:szCs w:val="22"/>
        </w:rPr>
        <w:t xml:space="preserve">Natural law theory—as articulated by Aristotle, Aquinas, Locke, Blackstone, and the American Founders—holds that certain rights and obligations exist by virtue of human nature and the moral order of the universe, not by virtue of legislative enactment. The Declaration of Independence declares these truths "self-evident": that all people "are endowed by their Creator with certain unalienable Rights" including "Life, Liberty, and the pursuit of Happiness." Government does not create these rights. Government exists to </w:t>
      </w:r>
      <w:r>
        <w:rPr>
          <w:rFonts w:ascii="Arial" w:cs="Arial" w:eastAsia="Arial" w:hAnsi="Arial"/>
          <w:i/>
          <w:iCs/>
          <w:sz w:val="22"/>
          <w:szCs w:val="22"/>
        </w:rPr>
        <w:t xml:space="preserve">secure</w:t>
      </w:r>
      <w:r>
        <w:rPr>
          <w:rFonts w:ascii="Arial" w:cs="Arial" w:eastAsia="Arial" w:hAnsi="Arial"/>
          <w:b w:val="false"/>
          <w:bCs w:val="false"/>
          <w:i w:val="false"/>
          <w:iCs w:val="false"/>
          <w:sz w:val="22"/>
          <w:szCs w:val="22"/>
        </w:rPr>
        <w:t xml:space="preserve"> them.</w:t>
      </w:r>
    </w:p>
    <w:p>
      <w:pPr>
        <w:spacing w:after="120" w:before="0" w:line="300"/>
        <w:ind w:left="720"/>
      </w:pPr>
      <w:r>
        <w:rPr>
          <w:rFonts w:ascii="Arial" w:cs="Arial" w:eastAsia="Arial" w:hAnsi="Arial"/>
          <w:b w:val="false"/>
          <w:bCs w:val="false"/>
          <w:i/>
          <w:iCs/>
          <w:sz w:val="20"/>
          <w:szCs w:val="20"/>
        </w:rPr>
        <w:t xml:space="preserve">"The end of law is not to abolish or restrain, but to preserve and enlarge freedom." — John Locke, Second Treatise of Government (1689)</w:t>
      </w:r>
    </w:p>
    <w:p>
      <w:pPr>
        <w:spacing w:after="160" w:before="0" w:line="300"/>
      </w:pPr>
      <w:r>
        <w:rPr>
          <w:rFonts w:ascii="Arial" w:cs="Arial" w:eastAsia="Arial" w:hAnsi="Arial"/>
          <w:b w:val="false"/>
          <w:bCs w:val="false"/>
          <w:i w:val="false"/>
          <w:iCs w:val="false"/>
          <w:sz w:val="22"/>
          <w:szCs w:val="22"/>
        </w:rPr>
        <w:t xml:space="preserve">Under natural law, the right to property is not merely a legal construct—it is a </w:t>
      </w:r>
      <w:r>
        <w:rPr>
          <w:rFonts w:ascii="Arial" w:cs="Arial" w:eastAsia="Arial" w:hAnsi="Arial"/>
          <w:b/>
          <w:bCs/>
          <w:sz w:val="22"/>
          <w:szCs w:val="22"/>
        </w:rPr>
        <w:t xml:space="preserve">natural right</w:t>
      </w:r>
      <w:r>
        <w:rPr>
          <w:rFonts w:ascii="Arial" w:cs="Arial" w:eastAsia="Arial" w:hAnsi="Arial"/>
          <w:b w:val="false"/>
          <w:bCs w:val="false"/>
          <w:i w:val="false"/>
          <w:iCs w:val="false"/>
          <w:sz w:val="22"/>
          <w:szCs w:val="22"/>
        </w:rPr>
        <w:t xml:space="preserve"> rooted in the human relationship to labor, sustenance, and stewardship. John Locke argued that property rights arise when a person mixes their labor with the natural world. The farmer who has invested generations of labor, capital, and stewardship in productive agricultural land holds a right to that property that is not contingent on a government’s permission—it is inherent in the relationship between the person and the land.</w:t>
      </w:r>
    </w:p>
    <w:p>
      <w:pPr>
        <w:spacing w:after="160" w:before="0" w:line="300"/>
      </w:pPr>
      <w:r>
        <w:rPr>
          <w:rFonts w:ascii="Arial" w:cs="Arial" w:eastAsia="Arial" w:hAnsi="Arial"/>
          <w:b w:val="false"/>
          <w:bCs w:val="false"/>
          <w:i w:val="false"/>
          <w:iCs w:val="false"/>
          <w:sz w:val="22"/>
          <w:szCs w:val="22"/>
        </w:rPr>
        <w:t xml:space="preserve">But natural law also establishes limits. Locke’s own theory includes the "sufficiency proviso"—one may acquire property only if "there is enough, and as good, left in common for others." This principle directly addresses the situation in Jerome County: a developer or landowner who converts irreplaceable farmland to industrial use has not merely exercised a right. They have diminished the common inheritance of the community and of future generations. Natural law does not support the claim that property rights include the right to destroy shared resources.</w:t>
      </w:r>
    </w:p>
    <w:p>
      <w:pPr>
        <w:spacing w:after="120" w:before="200" w:line="300"/>
      </w:pPr>
      <w:r>
        <w:rPr>
          <w:rFonts w:ascii="Arial" w:cs="Arial" w:eastAsia="Arial" w:hAnsi="Arial"/>
          <w:b/>
          <w:bCs/>
          <w:i w:val="false"/>
          <w:iCs w:val="false"/>
          <w:color w:val="2E75B6"/>
          <w:sz w:val="24"/>
          <w:szCs w:val="24"/>
        </w:rPr>
        <w:t xml:space="preserve">B. Ordered Liberty: Freedom Within a Framework of Mutual Obligation</w:t>
      </w:r>
    </w:p>
    <w:p>
      <w:pPr>
        <w:spacing w:after="160" w:before="0" w:line="300"/>
      </w:pPr>
      <w:r>
        <w:rPr>
          <w:rFonts w:ascii="Arial" w:cs="Arial" w:eastAsia="Arial" w:hAnsi="Arial"/>
          <w:b/>
          <w:bCs/>
          <w:sz w:val="22"/>
          <w:szCs w:val="22"/>
        </w:rPr>
        <w:t xml:space="preserve">Ordered liberty</w:t>
      </w:r>
      <w:r>
        <w:rPr>
          <w:rFonts w:ascii="Arial" w:cs="Arial" w:eastAsia="Arial" w:hAnsi="Arial"/>
          <w:b w:val="false"/>
          <w:bCs w:val="false"/>
          <w:i w:val="false"/>
          <w:iCs w:val="false"/>
          <w:sz w:val="22"/>
          <w:szCs w:val="22"/>
        </w:rPr>
        <w:t xml:space="preserve"> is the constitutional principle that freedom is not the absence of all restraint but the presence of a framework within which all persons can exercise their rights without destroying the rights of others. Justice Benjamin Cardozo described it as the recognition that liberty exists within "a scheme of ordered liberty" in which rights are balanced against responsibilities. Justice Charles Evans Hughes stated the same boundary directly: liberty implies "the absence of arbitrary restraint, not immunity from reasonable regulations."</w:t>
      </w:r>
    </w:p>
    <w:p>
      <w:pPr>
        <w:spacing w:after="120" w:before="0" w:line="300"/>
        <w:ind w:left="720"/>
      </w:pPr>
      <w:r>
        <w:rPr>
          <w:rFonts w:ascii="Arial" w:cs="Arial" w:eastAsia="Arial" w:hAnsi="Arial"/>
          <w:b w:val="false"/>
          <w:bCs w:val="false"/>
          <w:i/>
          <w:iCs/>
          <w:sz w:val="20"/>
          <w:szCs w:val="20"/>
        </w:rPr>
        <w:t xml:space="preserve">Chicago, Burlington &amp; Quincy R. Co. v. McGuire, 219 U.S. 549, 567 (1911). Palko v. Connecticut, 302 U.S. 319 (1937), stands, on this reading, for the same proposition: liberty is not the right of one person to do whatever he wishes, but a scheme within which all persons can exercise their rights with dignity.</w:t>
      </w:r>
    </w:p>
    <w:p>
      <w:pPr>
        <w:spacing w:after="160" w:before="0" w:line="300"/>
      </w:pPr>
      <w:r>
        <w:rPr>
          <w:rFonts w:ascii="Arial" w:cs="Arial" w:eastAsia="Arial" w:hAnsi="Arial"/>
          <w:b w:val="false"/>
          <w:bCs w:val="false"/>
          <w:i w:val="false"/>
          <w:iCs w:val="false"/>
          <w:sz w:val="22"/>
          <w:szCs w:val="22"/>
        </w:rPr>
        <w:t xml:space="preserve">Ordered liberty is the precise principle that distinguishes just regulation from tyranny on one hand and lawlessness on the other. It recognizes three complementary truths:</w:t>
      </w:r>
    </w:p>
    <w:p>
      <w:pPr>
        <w:spacing w:after="120" w:before="0" w:line="300"/>
        <w:ind w:left="360"/>
      </w:pPr>
      <w:r>
        <w:rPr>
          <w:rFonts w:ascii="Arial" w:cs="Arial" w:eastAsia="Arial" w:hAnsi="Arial"/>
          <w:b/>
          <w:bCs/>
          <w:sz w:val="22"/>
          <w:szCs w:val="22"/>
        </w:rPr>
        <w:t xml:space="preserve">First: </w:t>
      </w:r>
      <w:r>
        <w:rPr>
          <w:rFonts w:ascii="Arial" w:cs="Arial" w:eastAsia="Arial" w:hAnsi="Arial"/>
          <w:b w:val="false"/>
          <w:bCs w:val="false"/>
          <w:i w:val="false"/>
          <w:iCs w:val="false"/>
          <w:sz w:val="22"/>
          <w:szCs w:val="22"/>
        </w:rPr>
        <w:t xml:space="preserve">Every person has the right to use their property productively and to pursue their economic interests. This right is real, meaningful, and constitutionally protected.</w:t>
      </w:r>
    </w:p>
    <w:p>
      <w:pPr>
        <w:spacing w:after="120" w:before="0" w:line="300"/>
        <w:ind w:left="360"/>
      </w:pPr>
      <w:r>
        <w:rPr>
          <w:rFonts w:ascii="Arial" w:cs="Arial" w:eastAsia="Arial" w:hAnsi="Arial"/>
          <w:b/>
          <w:bCs/>
          <w:sz w:val="22"/>
          <w:szCs w:val="22"/>
        </w:rPr>
        <w:t xml:space="preserve">Second: </w:t>
      </w:r>
      <w:r>
        <w:rPr>
          <w:rFonts w:ascii="Arial" w:cs="Arial" w:eastAsia="Arial" w:hAnsi="Arial"/>
          <w:b w:val="false"/>
          <w:bCs w:val="false"/>
          <w:i w:val="false"/>
          <w:iCs w:val="false"/>
          <w:sz w:val="22"/>
          <w:szCs w:val="22"/>
        </w:rPr>
        <w:t xml:space="preserve">That right does not include the power to harm others, diminish their property, contaminate their water, degrade their air quality, or destroy the shared resources on which the community depends. The right to swing your fist ends where your neighbor’s nose begins.</w:t>
      </w:r>
    </w:p>
    <w:p>
      <w:pPr>
        <w:spacing w:after="200" w:before="0" w:line="300"/>
        <w:ind w:left="360"/>
      </w:pPr>
      <w:r>
        <w:rPr>
          <w:rFonts w:ascii="Arial" w:cs="Arial" w:eastAsia="Arial" w:hAnsi="Arial"/>
          <w:b/>
          <w:bCs/>
          <w:sz w:val="22"/>
          <w:szCs w:val="22"/>
        </w:rPr>
        <w:t xml:space="preserve">Third: </w:t>
      </w:r>
      <w:r>
        <w:rPr>
          <w:rFonts w:ascii="Arial" w:cs="Arial" w:eastAsia="Arial" w:hAnsi="Arial"/>
          <w:b w:val="false"/>
          <w:bCs w:val="false"/>
          <w:i w:val="false"/>
          <w:iCs w:val="false"/>
          <w:sz w:val="22"/>
          <w:szCs w:val="22"/>
        </w:rPr>
        <w:t xml:space="preserve">Government’s role is to define and enforce the boundary between these two principles—ensuring that liberty is preserved for all, not merely for those with the economic power to impose their preferences on others.</w:t>
      </w:r>
    </w:p>
    <w:p>
      <w:pPr>
        <w:spacing w:after="160" w:before="0" w:line="300"/>
      </w:pPr>
      <w:r>
        <w:rPr>
          <w:rFonts w:ascii="Arial" w:cs="Arial" w:eastAsia="Arial" w:hAnsi="Arial"/>
          <w:b w:val="false"/>
          <w:bCs w:val="false"/>
          <w:i w:val="false"/>
          <w:iCs w:val="false"/>
          <w:sz w:val="22"/>
          <w:szCs w:val="22"/>
        </w:rPr>
        <w:t xml:space="preserve">The proposed ordinance package embodies ordered liberty. It does not ban energy development or data centers. It establishes a framework within which development can occur </w:t>
      </w:r>
      <w:r>
        <w:rPr>
          <w:rFonts w:ascii="Arial" w:cs="Arial" w:eastAsia="Arial" w:hAnsi="Arial"/>
          <w:b/>
          <w:bCs/>
          <w:sz w:val="22"/>
          <w:szCs w:val="22"/>
        </w:rPr>
        <w:t xml:space="preserve">without destroying the rights, property, resources, and character of the community</w:t>
      </w:r>
      <w:r>
        <w:rPr>
          <w:rFonts w:ascii="Arial" w:cs="Arial" w:eastAsia="Arial" w:hAnsi="Arial"/>
          <w:b w:val="false"/>
          <w:bCs w:val="false"/>
          <w:i w:val="false"/>
          <w:iCs w:val="false"/>
          <w:sz w:val="22"/>
          <w:szCs w:val="22"/>
        </w:rPr>
        <w:t xml:space="preserve">. Tier 1 projects proceed by administrative permit. Tier 2 and Tier 3 projects undergo progressively more rigorous review because their impacts are progressively greater. The framework is calibrated, proportionate, and designed to preserve liberty for all—not just for developers.</w:t>
      </w:r>
    </w:p>
    <w:p>
      <w:pPr>
        <w:spacing w:after="120" w:before="200" w:line="300"/>
      </w:pPr>
      <w:r>
        <w:rPr>
          <w:rFonts w:ascii="Arial" w:cs="Arial" w:eastAsia="Arial" w:hAnsi="Arial"/>
          <w:b/>
          <w:bCs/>
          <w:i w:val="false"/>
          <w:iCs w:val="false"/>
          <w:color w:val="2E75B6"/>
          <w:sz w:val="24"/>
          <w:szCs w:val="24"/>
        </w:rPr>
        <w:t xml:space="preserve">C. The Moral Obligation of Stewardship</w:t>
      </w:r>
    </w:p>
    <w:p>
      <w:pPr>
        <w:spacing w:after="160" w:before="0" w:line="300"/>
      </w:pPr>
      <w:r>
        <w:rPr>
          <w:rFonts w:ascii="Arial" w:cs="Arial" w:eastAsia="Arial" w:hAnsi="Arial"/>
          <w:b w:val="false"/>
          <w:bCs w:val="false"/>
          <w:i w:val="false"/>
          <w:iCs w:val="false"/>
          <w:sz w:val="22"/>
          <w:szCs w:val="22"/>
        </w:rPr>
        <w:t xml:space="preserve">The natural law tradition recognizes a moral obligation of stewardship—the duty to care for resources that sustain life, not merely for the present generation but for all who will follow. This obligation is recognized across religious traditions, philosophical systems, and indigenous wisdom. It is implicit in the American constitutional commitment to "secure the Blessings of Liberty to ourselves and our Posterity."</w:t>
      </w:r>
    </w:p>
    <w:p>
      <w:pPr>
        <w:spacing w:after="160" w:before="0" w:line="300"/>
      </w:pPr>
      <w:r>
        <w:rPr>
          <w:rFonts w:ascii="Arial" w:cs="Arial" w:eastAsia="Arial" w:hAnsi="Arial"/>
          <w:b w:val="false"/>
          <w:bCs w:val="false"/>
          <w:i w:val="false"/>
          <w:iCs w:val="false"/>
          <w:sz w:val="22"/>
          <w:szCs w:val="22"/>
        </w:rPr>
        <w:t xml:space="preserve">Jerome County’s agricultural land is not merely an economic asset. It is a </w:t>
      </w:r>
      <w:r>
        <w:rPr>
          <w:rFonts w:ascii="Arial" w:cs="Arial" w:eastAsia="Arial" w:hAnsi="Arial"/>
          <w:b/>
          <w:bCs/>
          <w:sz w:val="22"/>
          <w:szCs w:val="22"/>
        </w:rPr>
        <w:t xml:space="preserve">trust held for future generations</w:t>
      </w:r>
      <w:r>
        <w:rPr>
          <w:rFonts w:ascii="Arial" w:cs="Arial" w:eastAsia="Arial" w:hAnsi="Arial"/>
          <w:b w:val="false"/>
          <w:bCs w:val="false"/>
          <w:i w:val="false"/>
          <w:iCs w:val="false"/>
          <w:sz w:val="22"/>
          <w:szCs w:val="22"/>
        </w:rPr>
        <w:t xml:space="preserve">. The Eastern Snake Plain Aquifer is not merely a water supply. It is a shared resource on which agriculture, communities, and ecosystems depend—already in deficit by 75,300 acre-feet (IDWR, 2025). The moral question is not whether the county has the legal authority to protect these resources. The moral question is whether the county can justify failing to protect them when the evidence of harm is documented, the authority exists, and the community has spoken.</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IV. Synthesis: Why Legal, Ethical, and Moral Justifications Are Each Necessary</w:t>
      </w:r>
    </w:p>
    <w:p>
      <w:pPr>
        <w:spacing w:after="160" w:before="0" w:line="300"/>
      </w:pPr>
      <w:r>
        <w:rPr>
          <w:rFonts w:ascii="Arial" w:cs="Arial" w:eastAsia="Arial" w:hAnsi="Arial"/>
          <w:b w:val="false"/>
          <w:bCs w:val="false"/>
          <w:i w:val="false"/>
          <w:iCs w:val="false"/>
          <w:sz w:val="22"/>
          <w:szCs w:val="22"/>
        </w:rPr>
        <w:t xml:space="preserve">These three justifications—legal, ethical, and moral—are not redundant. They serve different functions and address different audiences:</w:t>
      </w:r>
    </w:p>
    <w:p>
      <w:pPr>
        <w:spacing w:after="140" w:before="0" w:line="300"/>
        <w:ind w:left="360"/>
      </w:pPr>
      <w:r>
        <w:rPr>
          <w:rFonts w:ascii="Arial" w:cs="Arial" w:eastAsia="Arial" w:hAnsi="Arial"/>
          <w:b/>
          <w:bCs/>
          <w:sz w:val="22"/>
          <w:szCs w:val="22"/>
        </w:rPr>
        <w:t xml:space="preserve">The legal justification</w:t>
      </w:r>
      <w:r>
        <w:rPr>
          <w:rFonts w:ascii="Arial" w:cs="Arial" w:eastAsia="Arial" w:hAnsi="Arial"/>
          <w:b w:val="false"/>
          <w:bCs w:val="false"/>
          <w:i w:val="false"/>
          <w:iCs w:val="false"/>
          <w:sz w:val="22"/>
          <w:szCs w:val="22"/>
        </w:rPr>
        <w:t xml:space="preserve"> addresses the courts. It demonstrates that the proposed ordinances satisfy every requirement of constitutional law, Idaho statute, and administrative procedure. If challenged, the ordinances will survive judicial review because they are rational, proportionate, well-documented, and consistent with the comprehensive plan.</w:t>
      </w:r>
    </w:p>
    <w:p>
      <w:pPr>
        <w:spacing w:after="140" w:before="0" w:line="300"/>
        <w:ind w:left="360"/>
      </w:pPr>
      <w:r>
        <w:rPr>
          <w:rFonts w:ascii="Arial" w:cs="Arial" w:eastAsia="Arial" w:hAnsi="Arial"/>
          <w:b/>
          <w:bCs/>
          <w:sz w:val="22"/>
          <w:szCs w:val="22"/>
        </w:rPr>
        <w:t xml:space="preserve">The ethical justification</w:t>
      </w:r>
      <w:r>
        <w:rPr>
          <w:rFonts w:ascii="Arial" w:cs="Arial" w:eastAsia="Arial" w:hAnsi="Arial"/>
          <w:b w:val="false"/>
          <w:bCs w:val="false"/>
          <w:i w:val="false"/>
          <w:iCs w:val="false"/>
          <w:sz w:val="22"/>
          <w:szCs w:val="22"/>
        </w:rPr>
        <w:t xml:space="preserve"> addresses the Board of County Commissioners and the public. It demonstrates that the proposed ordinances are not merely technically legal but are affirmatively just—that they reflect principles of fairness, informed consent, intergenerational responsibility, and equal protection that any reasonable person would recognize as sound. A decision-maker who votes to protect the community is not being "heavy-handed." They are fulfilling their duty to govern justly.</w:t>
      </w:r>
    </w:p>
    <w:p>
      <w:pPr>
        <w:spacing w:after="200" w:before="0" w:line="300"/>
        <w:ind w:left="360"/>
      </w:pPr>
      <w:r>
        <w:rPr>
          <w:rFonts w:ascii="Arial" w:cs="Arial" w:eastAsia="Arial" w:hAnsi="Arial"/>
          <w:b/>
          <w:bCs/>
          <w:sz w:val="22"/>
          <w:szCs w:val="22"/>
        </w:rPr>
        <w:t xml:space="preserve">The moral justification</w:t>
      </w:r>
      <w:r>
        <w:rPr>
          <w:rFonts w:ascii="Arial" w:cs="Arial" w:eastAsia="Arial" w:hAnsi="Arial"/>
          <w:b w:val="false"/>
          <w:bCs w:val="false"/>
          <w:i w:val="false"/>
          <w:iCs w:val="false"/>
          <w:sz w:val="22"/>
          <w:szCs w:val="22"/>
        </w:rPr>
        <w:t xml:space="preserve"> addresses the conscience of the community. It grounds the ordinance package in principles that transcend politics, economics, and legal technicality. Natural law and ordered liberty are not abstractions—they are the foundations on which the American system of government was built. They establish that the right to protect one’s community, one’s land, one’s water, and one’s children’s future is not granted by any legislature. It is inherent in our nature as human beings and in the moral obligations we owe to one another.</w:t>
      </w:r>
    </w:p>
    <w:p>
      <w:pPr>
        <w:spacing w:after="120" w:before="200" w:line="300"/>
      </w:pPr>
      <w:r>
        <w:rPr>
          <w:rFonts w:ascii="Arial" w:cs="Arial" w:eastAsia="Arial" w:hAnsi="Arial"/>
          <w:b/>
          <w:bCs/>
          <w:i w:val="false"/>
          <w:iCs w:val="false"/>
          <w:color w:val="2E75B6"/>
          <w:sz w:val="24"/>
          <w:szCs w:val="24"/>
        </w:rPr>
        <w:t xml:space="preserve">The Community Has Spoken</w:t>
      </w:r>
    </w:p>
    <w:p>
      <w:pPr>
        <w:spacing w:after="160" w:before="0" w:line="300"/>
      </w:pPr>
      <w:r>
        <w:rPr>
          <w:rFonts w:ascii="Arial" w:cs="Arial" w:eastAsia="Arial" w:hAnsi="Arial"/>
          <w:b w:val="false"/>
          <w:bCs w:val="false"/>
          <w:i w:val="false"/>
          <w:iCs w:val="false"/>
          <w:sz w:val="22"/>
          <w:szCs w:val="22"/>
        </w:rPr>
        <w:t xml:space="preserve">The JTown Beacon Community Survey (March 2026, 65 respondents) provides the democratic confirmation of these principles. When 93.7% of respondents oppose large-scale energy in agricultural zones, 92.3% are concerned about BESS safety, 90.8% demand county-wide notification, 87.7% say farmland protection should take priority over energy development, and 80% say the current regulatory approach needs significant revision—the community is not merely expressing a preference. It is exercising the fundamental democratic right to determine how its shared resources will be governed. The proposed ordinance package gives legal form to the community’s moral judgment. To reject it would require the Board to conclude that the community is wrong about its own values, its own priorities, and its own future. The legal, ethical, and moral evidence permits no such conclusion.</w:t>
      </w:r>
    </w:p>
    <w:p>
      <w:pPr>
        <w:spacing w:after="200" w:before="0" w:line="300"/>
      </w:pPr>
      <w:r>
        <w:rPr>
          <w:rFonts w:ascii="Arial" w:cs="Arial" w:eastAsia="Arial" w:hAnsi="Arial"/>
          <w:b w:val="false"/>
          <w:bCs w:val="false"/>
          <w:i w:val="false"/>
          <w:iCs w:val="false"/>
          <w:sz w:val="22"/>
          <w:szCs w:val="22"/>
        </w:rPr>
        <w:t xml:space="preserve"/>
      </w:r>
    </w:p>
    <w:p>
      <w:pPr>
        <w:pBdr>
          <w:top w:val="single" w:color="2E75B6" w:sz="4" w:space="8"/>
        </w:pBdr>
        <w:spacing w:after="100" w:before="200"/>
        <w:jc w:val="center"/>
      </w:pPr>
      <w:r>
        <w:rPr>
          <w:rFonts w:ascii="Arial" w:cs="Arial" w:eastAsia="Arial" w:hAnsi="Arial"/>
          <w:b w:val="false"/>
          <w:bCs w:val="false"/>
          <w:i/>
          <w:iCs/>
          <w:color w:val="666666"/>
          <w:sz w:val="18"/>
          <w:szCs w:val="18"/>
        </w:rPr>
        <w:t xml:space="preserve">Prepared by Jeff Pierson, Confidential Solutions LLC  |  713 East Ave C, Jerome, Idaho  |  March 2026</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Position Document: Legal, Ethical &amp; Moral Justification</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creation: Legal foundation (positive law, constitutional authority), ethical foundation (non-harm, consent, intergenerational justice), moral foundation (natural law, ordered liberty, stewardship)</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4"/>
      </w:pBdr>
      <w:tabs>
        <w:tab w:val="right" w:pos="9026"/>
      </w:tabs>
    </w:pPr>
    <w:r>
      <w:rPr>
        <w:rFonts w:ascii="Arial" w:cs="Arial" w:eastAsia="Arial" w:hAnsi="Arial"/>
        <w:b w:val="false"/>
        <w:bCs w:val="false"/>
        <w:i w:val="false"/>
        <w:iCs w:val="false"/>
        <w:color w:val="666666"/>
        <w:sz w:val="16"/>
        <w:szCs w:val="16"/>
      </w:rPr>
      <w:t xml:space="preserve">Pierson — Legal, Ethical &amp; Moral Justification</w:t>
    </w:r>
    <w:r>
      <w:rPr>
        <w:rFonts w:ascii="Arial" w:cs="Arial" w:eastAsia="Arial" w:hAnsi="Arial"/>
        <w:sz w:val="16"/>
        <w:szCs w:val="16"/>
      </w:rPr>
      <w:t xml:space="preserve">	</w:t>
    </w:r>
    <w:r>
      <w:rPr>
        <w:rFonts w:ascii="Arial" w:cs="Arial" w:eastAsia="Arial" w:hAnsi="Arial"/>
        <w:b w:val="false"/>
        <w:bCs w:val="false"/>
        <w:i w:val="false"/>
        <w:iCs w:val="false"/>
        <w:color w:val="666666"/>
        <w:sz w:val="16"/>
        <w:szCs w:val="16"/>
      </w:rPr>
      <w:t xml:space="preserve">March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b w:val="false"/>
        <w:bCs w:val="false"/>
        <w:i/>
        <w:iCs/>
        <w:color w:val="666666"/>
        <w:sz w:val="16"/>
        <w:szCs w:val="16"/>
      </w:rPr>
      <w:t xml:space="preserve">JEROME COUNTY ENERGY ORDINANCE REFORM — LEGAL, ETHICAL &amp; MORAL JUSTIFICATION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2026-03-22T19:41:44.100Z</dcterms:created>
  <dcterms:modified xsi:type="dcterms:W3CDTF">2026-03-22T19:41:44.101Z</dcterms:modified>
</cp:coreProperties>
</file>

<file path=docProps/custom.xml><?xml version="1.0" encoding="utf-8"?>
<Properties xmlns="http://schemas.openxmlformats.org/officeDocument/2006/custom-properties" xmlns:vt="http://schemas.openxmlformats.org/officeDocument/2006/docPropsVTypes"/>
</file>