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A0D1B" w14:textId="77777777" w:rsidR="00456256" w:rsidRDefault="00456256">
      <w:pPr>
        <w:spacing w:before="600"/>
      </w:pPr>
    </w:p>
    <w:p w14:paraId="0B15B13C" w14:textId="77777777" w:rsidR="00456256" w:rsidRDefault="00850141">
      <w:pPr>
        <w:spacing w:after="100"/>
        <w:jc w:val="center"/>
      </w:pPr>
      <w:r>
        <w:rPr>
          <w:b/>
          <w:bCs/>
          <w:caps/>
          <w:color w:val="1A1A2E"/>
          <w:sz w:val="52"/>
          <w:szCs w:val="52"/>
        </w:rPr>
        <w:t>ALTAR, OATH, AND SILENCE</w:t>
      </w:r>
    </w:p>
    <w:p w14:paraId="5A3CF7E7" w14:textId="77777777" w:rsidR="00456256" w:rsidRDefault="00850141">
      <w:pPr>
        <w:spacing w:after="80"/>
        <w:jc w:val="center"/>
      </w:pPr>
      <w:r>
        <w:rPr>
          <w:i/>
          <w:iCs/>
          <w:color w:val="4A5568"/>
          <w:sz w:val="26"/>
          <w:szCs w:val="26"/>
        </w:rPr>
        <w:t>Reading the Imagery of a Song About Hidden Power</w:t>
      </w:r>
    </w:p>
    <w:p w14:paraId="6FFF4017" w14:textId="77777777" w:rsidR="00456256" w:rsidRDefault="00456256">
      <w:pPr>
        <w:pBdr>
          <w:bottom w:val="single" w:sz="4" w:space="4" w:color="B0906A"/>
        </w:pBdr>
        <w:spacing w:before="240" w:after="240"/>
      </w:pPr>
    </w:p>
    <w:p w14:paraId="2E4AB721" w14:textId="77777777" w:rsidR="00456256" w:rsidRDefault="00456256">
      <w:pPr>
        <w:spacing w:before="200"/>
      </w:pPr>
    </w:p>
    <w:p w14:paraId="036041BC" w14:textId="77777777" w:rsidR="00456256" w:rsidRDefault="00850141">
      <w:pPr>
        <w:spacing w:before="140" w:after="140" w:line="330" w:lineRule="auto"/>
        <w:jc w:val="both"/>
      </w:pPr>
      <w:r>
        <w:t>The song under examination here is not a conventional protest song. It names no politicians, identifies no parties, and proposes no legislation. What it does instead is more unusual: it attempts to describe the form that certain kinds of power take — not who holds it, but how it moves, how it binds, how it conceals itself behind ceremonies that mimic the sacred. To read the song carefully is to follow a chain of references that extends from the Hebrew scriptures through the Roman Empire, through medieval English hall culture, through the documented rituals of fraternal secret societies, and into the present. This article traces that chain image by image.</w:t>
      </w:r>
    </w:p>
    <w:p w14:paraId="1EC68D7C" w14:textId="77777777" w:rsidR="00456256" w:rsidRDefault="00456256">
      <w:pPr>
        <w:spacing w:before="80"/>
      </w:pPr>
    </w:p>
    <w:p w14:paraId="422E8CC3" w14:textId="77777777" w:rsidR="00456256" w:rsidRDefault="00456256">
      <w:pPr>
        <w:pBdr>
          <w:bottom w:val="single" w:sz="4" w:space="4" w:color="B0906A"/>
        </w:pBdr>
        <w:spacing w:before="240" w:after="240"/>
      </w:pPr>
    </w:p>
    <w:p w14:paraId="0EDAEFF5" w14:textId="77777777" w:rsidR="00456256" w:rsidRDefault="00456256">
      <w:pPr>
        <w:spacing w:before="160"/>
      </w:pPr>
    </w:p>
    <w:p w14:paraId="003438B0" w14:textId="77777777" w:rsidR="00456256" w:rsidRDefault="00850141">
      <w:pPr>
        <w:pStyle w:val="Heading1"/>
      </w:pPr>
      <w:r>
        <w:t>Part One: The Frame — What Is a Principality?</w:t>
      </w:r>
    </w:p>
    <w:p w14:paraId="6E6F71A1" w14:textId="77777777" w:rsidR="00456256" w:rsidRDefault="00456256">
      <w:pPr>
        <w:spacing w:before="60"/>
      </w:pPr>
    </w:p>
    <w:p w14:paraId="44672872" w14:textId="77777777" w:rsidR="00456256" w:rsidRDefault="00850141">
      <w:pPr>
        <w:spacing w:before="140" w:after="140" w:line="330" w:lineRule="auto"/>
        <w:jc w:val="both"/>
      </w:pPr>
      <w:r>
        <w:t>The song opens and closes with language drawn from a specific passage of the New Testament: the sixth chapter of Paul's letter to the Ephesian church, verse twelve, in the King James Version:</w:t>
      </w:r>
    </w:p>
    <w:p w14:paraId="4487887D" w14:textId="77777777" w:rsidR="00456256" w:rsidRDefault="00456256">
      <w:pPr>
        <w:spacing w:before="80"/>
      </w:pPr>
    </w:p>
    <w:p w14:paraId="1E8BEC8B" w14:textId="77777777" w:rsidR="00456256" w:rsidRDefault="00850141">
      <w:pPr>
        <w:pBdr>
          <w:left w:val="single" w:sz="8" w:space="14" w:color="7A5C3A"/>
        </w:pBdr>
        <w:spacing w:before="100" w:after="100" w:line="280" w:lineRule="auto"/>
        <w:ind w:left="800" w:right="800"/>
      </w:pPr>
      <w:r>
        <w:rPr>
          <w:i/>
          <w:iCs/>
          <w:color w:val="4A3728"/>
          <w:sz w:val="22"/>
          <w:szCs w:val="22"/>
        </w:rPr>
        <w:t>For we wrestle not against flesh and blood, but against principalities, against powers, against the rulers of the darkness of this world, against spiritual wickedness in high places.</w:t>
      </w:r>
    </w:p>
    <w:p w14:paraId="78FE4EC2" w14:textId="77777777" w:rsidR="00456256" w:rsidRDefault="00456256">
      <w:pPr>
        <w:spacing w:before="80"/>
      </w:pPr>
    </w:p>
    <w:p w14:paraId="4F206681" w14:textId="77777777" w:rsidR="00456256" w:rsidRDefault="00850141">
      <w:pPr>
        <w:spacing w:before="140" w:after="140" w:line="330" w:lineRule="auto"/>
        <w:jc w:val="both"/>
      </w:pPr>
      <w:r>
        <w:t xml:space="preserve">The song's opening declaration is a near-direct quotation of this verse, and the closing spoken section returns to it explicitly. To understand what the song is arguing, you have </w:t>
      </w:r>
      <w:r>
        <w:lastRenderedPageBreak/>
        <w:t>to understand what Paul was arguing — and why theologians and political theorists have argued about it ever since.</w:t>
      </w:r>
    </w:p>
    <w:p w14:paraId="290950C9" w14:textId="77777777" w:rsidR="00456256" w:rsidRDefault="00456256">
      <w:pPr>
        <w:spacing w:before="80"/>
      </w:pPr>
    </w:p>
    <w:p w14:paraId="656CF467" w14:textId="77777777" w:rsidR="00456256" w:rsidRDefault="00850141">
      <w:pPr>
        <w:spacing w:before="140" w:after="140" w:line="330" w:lineRule="auto"/>
        <w:jc w:val="both"/>
      </w:pPr>
      <w:r>
        <w:t>Paul wrote to Ephesus around 60-62 CE, when the city was a major administrative and commercial hub of the Roman Empire. The Greek words he chose for his taxonomy of adversaries are specific and contested. Archai — translated as '</w:t>
      </w:r>
      <w:proofErr w:type="gramStart"/>
      <w:r>
        <w:t>principalities' —</w:t>
      </w:r>
      <w:proofErr w:type="gramEnd"/>
      <w:r>
        <w:t xml:space="preserve"> means founding powers, structural authorities, the forces that establish the ordering of things. </w:t>
      </w:r>
      <w:proofErr w:type="spellStart"/>
      <w:r>
        <w:t>Exousiai</w:t>
      </w:r>
      <w:proofErr w:type="spellEnd"/>
      <w:r>
        <w:t xml:space="preserve"> — translated as '</w:t>
      </w:r>
      <w:proofErr w:type="gramStart"/>
      <w:r>
        <w:t>powers' —</w:t>
      </w:r>
      <w:proofErr w:type="gramEnd"/>
      <w:r>
        <w:t xml:space="preserve"> means delegated authorities, those who exercise sanctioned force. </w:t>
      </w:r>
      <w:proofErr w:type="spellStart"/>
      <w:proofErr w:type="gramStart"/>
      <w:r>
        <w:t>Kosmokratoras</w:t>
      </w:r>
      <w:proofErr w:type="spellEnd"/>
      <w:r>
        <w:t xml:space="preserve"> — '</w:t>
      </w:r>
      <w:proofErr w:type="gramEnd"/>
      <w:r>
        <w:t xml:space="preserve">rulers of </w:t>
      </w:r>
      <w:proofErr w:type="gramStart"/>
      <w:r>
        <w:t>darkness' —</w:t>
      </w:r>
      <w:proofErr w:type="gramEnd"/>
      <w:r>
        <w:t xml:space="preserve"> means world-rulers, those who govern the age. These terms were not primarily supernatural in their first-century usage. They were also political vocabulary: Roman governance used archai and </w:t>
      </w:r>
      <w:proofErr w:type="spellStart"/>
      <w:r>
        <w:t>exousiai</w:t>
      </w:r>
      <w:proofErr w:type="spellEnd"/>
      <w:r>
        <w:t xml:space="preserve"> to describe levels of imperial authority.</w:t>
      </w:r>
    </w:p>
    <w:p w14:paraId="1FE8F4E7" w14:textId="77777777" w:rsidR="00456256" w:rsidRDefault="00456256">
      <w:pPr>
        <w:spacing w:before="80"/>
      </w:pPr>
    </w:p>
    <w:p w14:paraId="47080175" w14:textId="77777777" w:rsidR="00456256" w:rsidRDefault="00850141">
      <w:pPr>
        <w:spacing w:before="140" w:after="140" w:line="330" w:lineRule="auto"/>
        <w:jc w:val="both"/>
      </w:pPr>
      <w:r>
        <w:t xml:space="preserve">This dual meaning — spiritual and institutional simultaneously — is what Walter Wink spent three volumes arguing in his Powers trilogy (1984-1992). Wink's thesis was that Paul's principalities are not disembodied demons floating above history but rather the spiritual dimension of social structures: the inner animating spirit of an empire, a corporation, a court, an institution. Every large human organization has both a visible outer form (its buildings, offices, personnel) and an invisible inner character (its mythology about itself, its capacity to command loyalty beyond self-interest, its ethos). Paul names the inner character. He calls it a principality when it operates against human flourishing, when it demands </w:t>
      </w:r>
      <w:proofErr w:type="gramStart"/>
      <w:r>
        <w:t>allegiance</w:t>
      </w:r>
      <w:proofErr w:type="gramEnd"/>
      <w:r>
        <w:t xml:space="preserve"> it has not earned, when it operates in darkness.</w:t>
      </w:r>
    </w:p>
    <w:p w14:paraId="192CC08B" w14:textId="77777777" w:rsidR="00456256" w:rsidRDefault="00456256">
      <w:pPr>
        <w:spacing w:before="80"/>
      </w:pPr>
    </w:p>
    <w:p w14:paraId="64E36292" w14:textId="77777777" w:rsidR="00456256" w:rsidRDefault="00850141">
      <w:pPr>
        <w:spacing w:before="140" w:after="140" w:line="330" w:lineRule="auto"/>
        <w:jc w:val="both"/>
      </w:pPr>
      <w:r>
        <w:t xml:space="preserve">The song adopts this framework wholesale. When it </w:t>
      </w:r>
      <w:proofErr w:type="gramStart"/>
      <w:r>
        <w:t>says</w:t>
      </w:r>
      <w:proofErr w:type="gramEnd"/>
      <w:r>
        <w:t xml:space="preserve"> 'this is not the enemy you can see / this is not the enemy you can name,' it </w:t>
      </w:r>
      <w:proofErr w:type="gramStart"/>
      <w:r>
        <w:t>is making</w:t>
      </w:r>
      <w:proofErr w:type="gramEnd"/>
      <w:r>
        <w:t xml:space="preserve"> a Pauline epistemological claim: the adversary is structural, not personal. Removing an individual from office doesn't dismantle a principality any more than pulling a weed without its root stops the weed from growing back. The song is </w:t>
      </w:r>
      <w:proofErr w:type="gramStart"/>
      <w:r>
        <w:t>interested</w:t>
      </w:r>
      <w:proofErr w:type="gramEnd"/>
      <w:r>
        <w:t xml:space="preserve"> in the root.</w:t>
      </w:r>
    </w:p>
    <w:p w14:paraId="02495F39" w14:textId="77777777" w:rsidR="00456256" w:rsidRDefault="00456256">
      <w:pPr>
        <w:spacing w:before="80"/>
      </w:pPr>
    </w:p>
    <w:p w14:paraId="53D6BB90" w14:textId="77777777" w:rsidR="00456256" w:rsidRDefault="00850141">
      <w:pPr>
        <w:spacing w:before="140" w:after="140" w:line="330" w:lineRule="auto"/>
        <w:jc w:val="both"/>
      </w:pPr>
      <w:r>
        <w:t xml:space="preserve">'Know them by their fruit' comes from the Sermon on the Mount (Matthew 7:15-20), where Jesus warns against false prophets. The diagnostic principle is empirical: don't trust self-presentation. Evaluate by outcome. What does the institution actually produce? </w:t>
      </w:r>
      <w:r>
        <w:lastRenderedPageBreak/>
        <w:t>Who does it actually serve? The song extends this principle to two additional criteria beyond visible outcome: 'know them by their rite' and 'by what they consume in the dark.' This is where the song begins to move from theology into history.</w:t>
      </w:r>
    </w:p>
    <w:p w14:paraId="6FE66372" w14:textId="77777777" w:rsidR="00456256" w:rsidRDefault="00456256">
      <w:pPr>
        <w:spacing w:before="80"/>
      </w:pPr>
    </w:p>
    <w:p w14:paraId="7481FEFA" w14:textId="77777777" w:rsidR="00456256" w:rsidRDefault="00456256">
      <w:pPr>
        <w:pBdr>
          <w:bottom w:val="single" w:sz="4" w:space="4" w:color="B0906A"/>
        </w:pBdr>
        <w:spacing w:before="240" w:after="240"/>
      </w:pPr>
    </w:p>
    <w:p w14:paraId="3A1FB2AF" w14:textId="77777777" w:rsidR="00456256" w:rsidRDefault="00456256">
      <w:pPr>
        <w:spacing w:before="160"/>
      </w:pPr>
    </w:p>
    <w:p w14:paraId="6D16B2C5" w14:textId="77777777" w:rsidR="00456256" w:rsidRDefault="00850141">
      <w:pPr>
        <w:pStyle w:val="Heading1"/>
      </w:pPr>
      <w:r>
        <w:t>Part Two: The Temple Veil and Why Its Absence Matters</w:t>
      </w:r>
    </w:p>
    <w:p w14:paraId="1AD52F8C" w14:textId="77777777" w:rsidR="00456256" w:rsidRDefault="00456256">
      <w:pPr>
        <w:spacing w:before="60"/>
      </w:pPr>
    </w:p>
    <w:p w14:paraId="7F8DCA9F" w14:textId="77777777" w:rsidR="00456256" w:rsidRDefault="00850141">
      <w:pPr>
        <w:spacing w:before="140" w:after="140" w:line="330" w:lineRule="auto"/>
        <w:jc w:val="both"/>
      </w:pPr>
      <w:r>
        <w:t>The first verse opens with a word most contemporary listeners will not recognize in its full historical weight:</w:t>
      </w:r>
    </w:p>
    <w:p w14:paraId="7DA341E0" w14:textId="77777777" w:rsidR="00456256" w:rsidRDefault="00456256">
      <w:pPr>
        <w:spacing w:before="80"/>
      </w:pPr>
    </w:p>
    <w:p w14:paraId="7B2321FC" w14:textId="77777777" w:rsidR="00456256" w:rsidRDefault="00850141">
      <w:pPr>
        <w:pBdr>
          <w:left w:val="single" w:sz="8" w:space="14" w:color="7A5C3A"/>
        </w:pBdr>
        <w:spacing w:before="100" w:after="100" w:line="280" w:lineRule="auto"/>
        <w:ind w:left="800" w:right="800"/>
      </w:pPr>
      <w:r>
        <w:rPr>
          <w:i/>
          <w:iCs/>
          <w:color w:val="4A3728"/>
          <w:sz w:val="22"/>
          <w:szCs w:val="22"/>
        </w:rPr>
        <w:t>The tabernacle of kings stands veiled in hush, / The curtains fall like temple walls grown old, / Heavy with oil and consecrated dust — / A feast begun that no one's ever told.</w:t>
      </w:r>
    </w:p>
    <w:p w14:paraId="0DDBCB3E" w14:textId="77777777" w:rsidR="00456256" w:rsidRDefault="00456256">
      <w:pPr>
        <w:spacing w:before="80"/>
      </w:pPr>
    </w:p>
    <w:p w14:paraId="4410C564" w14:textId="77777777" w:rsidR="00456256" w:rsidRDefault="00850141">
      <w:pPr>
        <w:spacing w:before="140" w:after="140" w:line="330" w:lineRule="auto"/>
        <w:jc w:val="both"/>
      </w:pPr>
      <w:r>
        <w:t xml:space="preserve">A tabernacle, in the Hebrew scriptures, was the portable sanctuary the Israelites constructed in the Sinai wilderness after the Exodus from Egypt. Described in exhaustive architectural detail across multiple chapters of Exodus (25-40), it was a tent-structure divided into three zones of decreasing accessibility. The outer court was open to the Israelite community. The Holy Place was accessible only to ordained priests. The innermost chamber — the Holy of Holies, which housed the Ark of the Covenant — was accessible to exactly one person: the High Priest, once a year, on the Day of Atonement (Yom Kippur), after </w:t>
      </w:r>
      <w:proofErr w:type="gramStart"/>
      <w:r>
        <w:t>elaborate</w:t>
      </w:r>
      <w:proofErr w:type="gramEnd"/>
      <w:r>
        <w:t xml:space="preserve"> ritual preparation. Everyone else was structurally barred.</w:t>
      </w:r>
    </w:p>
    <w:p w14:paraId="52716C30" w14:textId="77777777" w:rsidR="00456256" w:rsidRDefault="00456256">
      <w:pPr>
        <w:spacing w:before="80"/>
      </w:pPr>
    </w:p>
    <w:p w14:paraId="645045A0" w14:textId="77777777" w:rsidR="00456256" w:rsidRDefault="00850141">
      <w:pPr>
        <w:spacing w:before="140" w:after="140" w:line="330" w:lineRule="auto"/>
        <w:jc w:val="both"/>
      </w:pPr>
      <w:r>
        <w:t xml:space="preserve">The dividing element was the </w:t>
      </w:r>
      <w:proofErr w:type="spellStart"/>
      <w:r>
        <w:t>paroketh</w:t>
      </w:r>
      <w:proofErr w:type="spellEnd"/>
      <w:r>
        <w:t xml:space="preserve"> — a thick curtain or veil. This veil separated the accessible from the inaccessible, the common from the consecrated, those who could approach from those who could not. Access to the holy was mediated, regulated, and hierarchically controlled. You could not simply walk in.</w:t>
      </w:r>
    </w:p>
    <w:p w14:paraId="768C034F" w14:textId="77777777" w:rsidR="00456256" w:rsidRDefault="00456256">
      <w:pPr>
        <w:spacing w:before="80"/>
      </w:pPr>
    </w:p>
    <w:p w14:paraId="7467D506" w14:textId="77777777" w:rsidR="00456256" w:rsidRDefault="00850141">
      <w:pPr>
        <w:spacing w:before="140" w:after="140" w:line="330" w:lineRule="auto"/>
        <w:jc w:val="both"/>
      </w:pPr>
      <w:r>
        <w:lastRenderedPageBreak/>
        <w:t>All three Synoptic Gospels record that at the moment of Christ's death, the temple veil tore from top to bottom (Matthew 27:51, Mark 15:38, Luke 23:45). Christian theology reads this as the definitive end of mediated access to God: the curtain is down, the holy of holies is open, no priest is required as intermediary. The reformation announced by the torn veil is thoroughgoing — what had been restricted is now available to all.</w:t>
      </w:r>
    </w:p>
    <w:p w14:paraId="4E64339A" w14:textId="77777777" w:rsidR="00456256" w:rsidRDefault="00456256">
      <w:pPr>
        <w:spacing w:before="80"/>
      </w:pPr>
    </w:p>
    <w:p w14:paraId="751C6E7D" w14:textId="77777777" w:rsidR="00456256" w:rsidRDefault="00850141">
      <w:pPr>
        <w:spacing w:before="140" w:after="140" w:line="330" w:lineRule="auto"/>
        <w:jc w:val="both"/>
      </w:pPr>
      <w:r>
        <w:t>The song's most theologically charged line appears near its end:</w:t>
      </w:r>
    </w:p>
    <w:p w14:paraId="5EC79F8E" w14:textId="77777777" w:rsidR="00456256" w:rsidRDefault="00456256">
      <w:pPr>
        <w:spacing w:before="80"/>
      </w:pPr>
    </w:p>
    <w:p w14:paraId="2B40E507" w14:textId="77777777" w:rsidR="00456256" w:rsidRDefault="00850141">
      <w:pPr>
        <w:pBdr>
          <w:left w:val="single" w:sz="8" w:space="14" w:color="7A5C3A"/>
        </w:pBdr>
        <w:spacing w:before="100" w:after="100" w:line="280" w:lineRule="auto"/>
        <w:ind w:left="800" w:right="800"/>
      </w:pPr>
      <w:r>
        <w:rPr>
          <w:i/>
          <w:iCs/>
          <w:color w:val="4A3728"/>
          <w:sz w:val="22"/>
          <w:szCs w:val="22"/>
        </w:rPr>
        <w:t>The timber does not rend, nor does it fail —</w:t>
      </w:r>
    </w:p>
    <w:p w14:paraId="739EFA3B" w14:textId="77777777" w:rsidR="00456256" w:rsidRDefault="00456256">
      <w:pPr>
        <w:spacing w:before="80"/>
      </w:pPr>
    </w:p>
    <w:p w14:paraId="34F2AE95" w14:textId="77777777" w:rsidR="00456256" w:rsidRDefault="00850141">
      <w:pPr>
        <w:spacing w:before="140" w:after="140" w:line="330" w:lineRule="auto"/>
        <w:jc w:val="both"/>
      </w:pPr>
      <w:r>
        <w:t>'Rend' is the specific word used in the King James Version for what the veil did at the crucifixion. The song's claim is that this veil has been restored. The institutions it describes have rebuilt the curtain. They have re-established a tripartite access structure in which the inner sanctum is available only to the consecrated, where the holy of holies is once again a private room. The reformation didn't hold. The curtain is back up. And — unlike the temple veil, which tore — this one 'does not rend, nor does it fail.' It is self-repairing.</w:t>
      </w:r>
    </w:p>
    <w:p w14:paraId="5D205B6D" w14:textId="77777777" w:rsidR="00456256" w:rsidRDefault="00456256">
      <w:pPr>
        <w:spacing w:before="80"/>
      </w:pPr>
    </w:p>
    <w:p w14:paraId="3D604182" w14:textId="77777777" w:rsidR="00456256" w:rsidRDefault="00850141">
      <w:pPr>
        <w:spacing w:before="140" w:after="140" w:line="330" w:lineRule="auto"/>
        <w:jc w:val="both"/>
      </w:pPr>
      <w:r>
        <w:t>'Heavy with oil and consecrated dust' anchors this in specific historical practice. Oil in the ancient Near East was the medium of consecration. To pour oil on something or someone was to designate them as set apart for a sacred purpose. The Hebrew word for the anointed one — mashiach — is where 'Messiah' comes from. Kings of Israel were anointed. So were priests. So were the furnishings of the sanctuary itself. To say the tabernacle of kings is heavy with oil is to say it has claimed divine designation for its authority — it presents itself as consecrated, as set apart, as beyond ordinary scrutiny.</w:t>
      </w:r>
    </w:p>
    <w:p w14:paraId="30BDFB0F" w14:textId="77777777" w:rsidR="00456256" w:rsidRDefault="00456256">
      <w:pPr>
        <w:spacing w:before="80"/>
      </w:pPr>
    </w:p>
    <w:p w14:paraId="03553855" w14:textId="77777777" w:rsidR="00456256" w:rsidRDefault="00850141">
      <w:pPr>
        <w:spacing w:before="140" w:after="140" w:line="330" w:lineRule="auto"/>
        <w:jc w:val="both"/>
      </w:pPr>
      <w:r>
        <w:t xml:space="preserve">'Consecrated dust' adds the element of mortality pressed into service. Dust in the Hebrew scriptures carries a specific valence from Genesis 3:19: 'for dust thou art and unto dust shalt thou return.' It is the marker of human mortality. But the song's dust is consecrated — death itself has been ritualized, folded into the institution's self-mythology. The organization survives its members precisely by incorporating their mortality into its </w:t>
      </w:r>
      <w:r>
        <w:lastRenderedPageBreak/>
        <w:t>ongoing narrative. Past leaders become ancestors. Their deaths strengthen the institution's claim to continuity and legitimacy. The dust of the dead is made useful.</w:t>
      </w:r>
    </w:p>
    <w:p w14:paraId="775ECC19" w14:textId="77777777" w:rsidR="00456256" w:rsidRDefault="00456256">
      <w:pPr>
        <w:spacing w:before="80"/>
      </w:pPr>
    </w:p>
    <w:p w14:paraId="0AC8D645" w14:textId="77777777" w:rsidR="00456256" w:rsidRDefault="00456256">
      <w:pPr>
        <w:pBdr>
          <w:bottom w:val="single" w:sz="4" w:space="4" w:color="B0906A"/>
        </w:pBdr>
        <w:spacing w:before="240" w:after="240"/>
      </w:pPr>
    </w:p>
    <w:p w14:paraId="55D0D0EF" w14:textId="77777777" w:rsidR="00456256" w:rsidRDefault="00456256">
      <w:pPr>
        <w:spacing w:before="160"/>
      </w:pPr>
    </w:p>
    <w:p w14:paraId="46EC3FAF" w14:textId="77777777" w:rsidR="00456256" w:rsidRDefault="00850141">
      <w:pPr>
        <w:pStyle w:val="Heading1"/>
      </w:pPr>
      <w:r>
        <w:t>Part Three: The High Table and the Altar Block</w:t>
      </w:r>
    </w:p>
    <w:p w14:paraId="7053F4C3" w14:textId="77777777" w:rsidR="00456256" w:rsidRDefault="00456256">
      <w:pPr>
        <w:spacing w:before="60"/>
      </w:pPr>
    </w:p>
    <w:p w14:paraId="5FE1D506" w14:textId="77777777" w:rsidR="00456256" w:rsidRDefault="00850141">
      <w:pPr>
        <w:spacing w:before="140" w:after="140" w:line="330" w:lineRule="auto"/>
        <w:jc w:val="both"/>
      </w:pPr>
      <w:r>
        <w:t>The second verse shifts from sacred architecture to a specific piece of furniture with a specific political history:</w:t>
      </w:r>
    </w:p>
    <w:p w14:paraId="75B62E81" w14:textId="77777777" w:rsidR="00456256" w:rsidRDefault="00456256">
      <w:pPr>
        <w:spacing w:before="80"/>
      </w:pPr>
    </w:p>
    <w:p w14:paraId="6922F735" w14:textId="77777777" w:rsidR="00456256" w:rsidRDefault="00850141">
      <w:pPr>
        <w:pBdr>
          <w:left w:val="single" w:sz="8" w:space="14" w:color="7A5C3A"/>
        </w:pBdr>
        <w:spacing w:before="100" w:after="100" w:line="280" w:lineRule="auto"/>
        <w:ind w:left="800" w:right="800"/>
      </w:pPr>
      <w:r>
        <w:rPr>
          <w:i/>
          <w:iCs/>
          <w:color w:val="4A3728"/>
          <w:sz w:val="22"/>
          <w:szCs w:val="22"/>
        </w:rPr>
        <w:t xml:space="preserve">No trumpet names the hour, no village knows, / The high table becomes the altar block. / Where men sit down to </w:t>
      </w:r>
      <w:proofErr w:type="gramStart"/>
      <w:r>
        <w:rPr>
          <w:i/>
          <w:iCs/>
          <w:color w:val="4A3728"/>
          <w:sz w:val="22"/>
          <w:szCs w:val="22"/>
        </w:rPr>
        <w:t>eat</w:t>
      </w:r>
      <w:proofErr w:type="gramEnd"/>
      <w:r>
        <w:rPr>
          <w:i/>
          <w:iCs/>
          <w:color w:val="4A3728"/>
          <w:sz w:val="22"/>
          <w:szCs w:val="22"/>
        </w:rPr>
        <w:t xml:space="preserve"> they lean to cut, / And chalice shares one light with lifted lock.</w:t>
      </w:r>
    </w:p>
    <w:p w14:paraId="7D729F44" w14:textId="77777777" w:rsidR="00456256" w:rsidRDefault="00456256">
      <w:pPr>
        <w:spacing w:before="80"/>
      </w:pPr>
    </w:p>
    <w:p w14:paraId="3154ECF0" w14:textId="77777777" w:rsidR="00456256" w:rsidRDefault="00850141">
      <w:pPr>
        <w:pStyle w:val="Heading2"/>
      </w:pPr>
      <w:r>
        <w:t>The High Table</w:t>
      </w:r>
    </w:p>
    <w:p w14:paraId="22128922" w14:textId="77777777" w:rsidR="00456256" w:rsidRDefault="00456256">
      <w:pPr>
        <w:spacing w:before="60"/>
      </w:pPr>
    </w:p>
    <w:p w14:paraId="3C239DF1" w14:textId="77777777" w:rsidR="00456256" w:rsidRDefault="00850141">
      <w:pPr>
        <w:spacing w:before="140" w:after="140" w:line="330" w:lineRule="auto"/>
        <w:jc w:val="both"/>
      </w:pPr>
      <w:r>
        <w:t>The high table in medieval English culture was not a euphemism. It was a literal table on a literal raised platform — a dais — at the head of the great hall. Lords, their families, and honored guests sat at the high table. Everyone else sat below. The arrangement was not incidental; it was the physical architecture of feudal hierarchy made visible at every meal. The word 'high' described both elevation and status simultaneously, because in medieval thought they were the same thing.</w:t>
      </w:r>
    </w:p>
    <w:p w14:paraId="3D6EF00E" w14:textId="77777777" w:rsidR="00456256" w:rsidRDefault="00456256">
      <w:pPr>
        <w:spacing w:before="80"/>
      </w:pPr>
    </w:p>
    <w:p w14:paraId="63FC2A31" w14:textId="77777777" w:rsidR="00456256" w:rsidRDefault="00850141">
      <w:pPr>
        <w:spacing w:before="140" w:after="140" w:line="330" w:lineRule="auto"/>
        <w:jc w:val="both"/>
      </w:pPr>
      <w:r>
        <w:t xml:space="preserve">The great hall was a theater of political </w:t>
      </w:r>
      <w:proofErr w:type="gramStart"/>
      <w:r>
        <w:t>relationship</w:t>
      </w:r>
      <w:proofErr w:type="gramEnd"/>
      <w:r>
        <w:t xml:space="preserve">. Seating </w:t>
      </w:r>
      <w:proofErr w:type="gramStart"/>
      <w:r>
        <w:t>assignment communicated</w:t>
      </w:r>
      <w:proofErr w:type="gramEnd"/>
      <w:r>
        <w:t xml:space="preserve"> rank, trust, and alliance. To be invited to the high table was a declaration of political favor. </w:t>
      </w:r>
      <w:proofErr w:type="gramStart"/>
      <w:r>
        <w:t>To be</w:t>
      </w:r>
      <w:proofErr w:type="gramEnd"/>
      <w:r>
        <w:t xml:space="preserve"> seated far below was a declaration of marginality. The lord's body at the high table was the gravitational center around which the entire social arrangement organized itself. This practice persisted through the Tudor and Stuart periods and survives today in the formal dining halls of Oxford and Cambridge, where the 'high table' remains elevated and faculty dine separately from students.</w:t>
      </w:r>
    </w:p>
    <w:p w14:paraId="5BEB8339" w14:textId="77777777" w:rsidR="00456256" w:rsidRDefault="00456256">
      <w:pPr>
        <w:spacing w:before="80"/>
      </w:pPr>
    </w:p>
    <w:p w14:paraId="75161159" w14:textId="77777777" w:rsidR="00456256" w:rsidRDefault="00850141">
      <w:pPr>
        <w:pStyle w:val="Heading2"/>
      </w:pPr>
      <w:r>
        <w:t>The Altar Block</w:t>
      </w:r>
    </w:p>
    <w:p w14:paraId="6AA475E5" w14:textId="77777777" w:rsidR="00456256" w:rsidRDefault="00456256">
      <w:pPr>
        <w:spacing w:before="60"/>
      </w:pPr>
    </w:p>
    <w:p w14:paraId="424BC80E" w14:textId="77777777" w:rsidR="00456256" w:rsidRDefault="00850141">
      <w:pPr>
        <w:spacing w:before="140" w:after="140" w:line="330" w:lineRule="auto"/>
        <w:jc w:val="both"/>
      </w:pPr>
      <w:r>
        <w:t>The song's move is to identify the high table with the altar block — the stone surface on which sacrificial animals were prepared and killed in ancient temple practice. The altar in Levitical worship was not merely a symbolic object; it was a functional surface for blood ritual. The priests approached it with specific implements for specific purposes. What happened on the altar was the transfer of something from the living to the dead, from the profane to the sacred, from the people to the deity.</w:t>
      </w:r>
    </w:p>
    <w:p w14:paraId="70469035" w14:textId="77777777" w:rsidR="00456256" w:rsidRDefault="00456256">
      <w:pPr>
        <w:spacing w:before="80"/>
      </w:pPr>
    </w:p>
    <w:p w14:paraId="5E173A43" w14:textId="77777777" w:rsidR="00456256" w:rsidRDefault="00850141">
      <w:pPr>
        <w:spacing w:before="140" w:after="140" w:line="330" w:lineRule="auto"/>
        <w:jc w:val="both"/>
      </w:pPr>
      <w:r>
        <w:t>By saying 'the high table becomes the altar block,' the song argues that what appears as political fellowship — shared food, shared table, the performance of common purpose — is actually sacrifice. Something is being offered. Something is being consumed. Something is being killed. The question the song leaves deliberately unanswered is what. The common good? Political possibility? Democratic accountability? The answer is left to the listener's reading of their own historical moment.</w:t>
      </w:r>
    </w:p>
    <w:p w14:paraId="3C2303AB" w14:textId="77777777" w:rsidR="00456256" w:rsidRDefault="00456256">
      <w:pPr>
        <w:spacing w:before="80"/>
      </w:pPr>
    </w:p>
    <w:p w14:paraId="26507D1B" w14:textId="77777777" w:rsidR="00456256" w:rsidRDefault="00850141">
      <w:pPr>
        <w:spacing w:before="140" w:after="140" w:line="330" w:lineRule="auto"/>
        <w:jc w:val="both"/>
      </w:pPr>
      <w:r>
        <w:t xml:space="preserve">'No trumpet names the hour, no village </w:t>
      </w:r>
      <w:proofErr w:type="gramStart"/>
      <w:r>
        <w:t>knows' —</w:t>
      </w:r>
      <w:proofErr w:type="gramEnd"/>
      <w:r>
        <w:t xml:space="preserve"> this detail requires understanding what trumpets did in ancient Israelite practice. The shofar (ram's horn) and silver trumpets were used to announce the liturgical calendar to the entire community. Numbers 10 specifies their use: trumpets called the assembly, announced the beginning of festivals, marked the Day of Atonement, signaled the approach of the Sabbath. These were public signals. They invited the whole people into awareness of what was happening in sacred time. The absence of trumpets in the song's scene is not neutral — it is the deliberate suppression of the public signal. The sacrifice happens without announcement. The village doesn't know because it is structurally prevented from knowing.</w:t>
      </w:r>
    </w:p>
    <w:p w14:paraId="78DC414F" w14:textId="77777777" w:rsidR="00456256" w:rsidRDefault="00456256">
      <w:pPr>
        <w:spacing w:before="80"/>
      </w:pPr>
    </w:p>
    <w:p w14:paraId="34C25EFF" w14:textId="77777777" w:rsidR="00456256" w:rsidRDefault="00850141">
      <w:pPr>
        <w:spacing w:before="140" w:after="140" w:line="330" w:lineRule="auto"/>
        <w:jc w:val="both"/>
      </w:pPr>
      <w:r>
        <w:t xml:space="preserve">'Chalice shares one light with lifted </w:t>
      </w:r>
      <w:proofErr w:type="gramStart"/>
      <w:r>
        <w:t>lock' —</w:t>
      </w:r>
      <w:proofErr w:type="gramEnd"/>
      <w:r>
        <w:t xml:space="preserve"> a chalice is a ceremonial </w:t>
      </w:r>
      <w:proofErr w:type="gramStart"/>
      <w:r>
        <w:t>cup,</w:t>
      </w:r>
      <w:proofErr w:type="gramEnd"/>
      <w:r>
        <w:t xml:space="preserve"> most commonly associated with the Eucharist. A lock is an instrument of sealing, of closure, of controlled access. Sharing the cup in many ancient and medieval traditions was a covenant act: to drink from the same vessel was to enter into a binding relationship with the others who </w:t>
      </w:r>
      <w:r>
        <w:lastRenderedPageBreak/>
        <w:t>drank. The phrase places chalice and lock in the same frame — the act of communion and the act of sealing are simultaneous. To drink together is to be locked together.</w:t>
      </w:r>
    </w:p>
    <w:p w14:paraId="1FC33AAD" w14:textId="77777777" w:rsidR="00456256" w:rsidRDefault="00456256">
      <w:pPr>
        <w:spacing w:before="80"/>
      </w:pPr>
    </w:p>
    <w:p w14:paraId="1FAEB0C1" w14:textId="77777777" w:rsidR="00456256" w:rsidRDefault="00456256">
      <w:pPr>
        <w:pBdr>
          <w:bottom w:val="single" w:sz="4" w:space="4" w:color="B0906A"/>
        </w:pBdr>
        <w:spacing w:before="240" w:after="240"/>
      </w:pPr>
    </w:p>
    <w:p w14:paraId="0BBF8E8B" w14:textId="77777777" w:rsidR="00456256" w:rsidRDefault="00456256">
      <w:pPr>
        <w:spacing w:before="160"/>
      </w:pPr>
    </w:p>
    <w:p w14:paraId="4ECC2756" w14:textId="77777777" w:rsidR="00456256" w:rsidRDefault="00850141">
      <w:pPr>
        <w:pStyle w:val="Heading1"/>
      </w:pPr>
      <w:r>
        <w:t>Part Four: The Eucharist as Binding Oath</w:t>
      </w:r>
    </w:p>
    <w:p w14:paraId="090DFAF8" w14:textId="77777777" w:rsidR="00456256" w:rsidRDefault="00456256">
      <w:pPr>
        <w:spacing w:before="60"/>
      </w:pPr>
    </w:p>
    <w:p w14:paraId="78619EB5" w14:textId="77777777" w:rsidR="00456256" w:rsidRDefault="00850141">
      <w:pPr>
        <w:spacing w:before="140" w:after="140" w:line="330" w:lineRule="auto"/>
        <w:jc w:val="both"/>
      </w:pPr>
      <w:r>
        <w:t>The refrain and the bridge develop the communion imagery into a sustained argument about how ritual eating functions as political oath:</w:t>
      </w:r>
    </w:p>
    <w:p w14:paraId="541282CF" w14:textId="77777777" w:rsidR="00456256" w:rsidRDefault="00456256">
      <w:pPr>
        <w:spacing w:before="80"/>
      </w:pPr>
    </w:p>
    <w:p w14:paraId="65311F2E" w14:textId="77777777" w:rsidR="00456256" w:rsidRDefault="00850141">
      <w:pPr>
        <w:pBdr>
          <w:left w:val="single" w:sz="8" w:space="14" w:color="7A5C3A"/>
        </w:pBdr>
        <w:spacing w:before="100" w:after="100" w:line="280" w:lineRule="auto"/>
        <w:ind w:left="800" w:right="800"/>
      </w:pPr>
      <w:r>
        <w:rPr>
          <w:i/>
          <w:iCs/>
          <w:color w:val="4A3728"/>
          <w:sz w:val="22"/>
          <w:szCs w:val="22"/>
        </w:rPr>
        <w:t xml:space="preserve">Cup touches lip and mouth </w:t>
      </w:r>
      <w:proofErr w:type="gramStart"/>
      <w:r>
        <w:rPr>
          <w:i/>
          <w:iCs/>
          <w:color w:val="4A3728"/>
          <w:sz w:val="22"/>
          <w:szCs w:val="22"/>
        </w:rPr>
        <w:t>receives</w:t>
      </w:r>
      <w:proofErr w:type="gramEnd"/>
      <w:r>
        <w:rPr>
          <w:i/>
          <w:iCs/>
          <w:color w:val="4A3728"/>
          <w:sz w:val="22"/>
          <w:szCs w:val="22"/>
        </w:rPr>
        <w:t xml:space="preserve"> the stain, / The crimson sign declares a binding oath. / Not shouted out but sealed in measured </w:t>
      </w:r>
      <w:proofErr w:type="gramStart"/>
      <w:r>
        <w:rPr>
          <w:i/>
          <w:iCs/>
          <w:color w:val="4A3728"/>
          <w:sz w:val="22"/>
          <w:szCs w:val="22"/>
        </w:rPr>
        <w:t>rite — /</w:t>
      </w:r>
      <w:proofErr w:type="gramEnd"/>
      <w:r>
        <w:rPr>
          <w:i/>
          <w:iCs/>
          <w:color w:val="4A3728"/>
          <w:sz w:val="22"/>
          <w:szCs w:val="22"/>
        </w:rPr>
        <w:t xml:space="preserve"> Eat, and it binds you. Drink, and you have both.</w:t>
      </w:r>
    </w:p>
    <w:p w14:paraId="28861BB4" w14:textId="77777777" w:rsidR="00456256" w:rsidRDefault="00456256">
      <w:pPr>
        <w:spacing w:before="80"/>
      </w:pPr>
    </w:p>
    <w:p w14:paraId="3BE182C3" w14:textId="77777777" w:rsidR="00456256" w:rsidRDefault="00850141">
      <w:pPr>
        <w:pStyle w:val="Heading2"/>
      </w:pPr>
      <w:r>
        <w:t xml:space="preserve">What </w:t>
      </w:r>
      <w:proofErr w:type="gramStart"/>
      <w:r>
        <w:t>Communion</w:t>
      </w:r>
      <w:proofErr w:type="gramEnd"/>
      <w:r>
        <w:t xml:space="preserve"> Actually Is</w:t>
      </w:r>
    </w:p>
    <w:p w14:paraId="5562396C" w14:textId="77777777" w:rsidR="00456256" w:rsidRDefault="00456256">
      <w:pPr>
        <w:spacing w:before="60"/>
      </w:pPr>
    </w:p>
    <w:p w14:paraId="3441C21F" w14:textId="77777777" w:rsidR="00456256" w:rsidRDefault="00850141">
      <w:pPr>
        <w:spacing w:before="140" w:after="140" w:line="330" w:lineRule="auto"/>
        <w:jc w:val="both"/>
      </w:pPr>
      <w:r>
        <w:t xml:space="preserve">The Christian Eucharist — from the Greek </w:t>
      </w:r>
      <w:proofErr w:type="spellStart"/>
      <w:r>
        <w:t>eucharistia</w:t>
      </w:r>
      <w:proofErr w:type="spellEnd"/>
      <w:r>
        <w:t xml:space="preserve">, meaning thanksgiving — is recorded in all four Gospels and in Paul's first letter to the Corinthians. At the Last Supper, Jesus took bread, broke it, and said 'this is my body broken for you.' He took the cup and </w:t>
      </w:r>
      <w:proofErr w:type="gramStart"/>
      <w:r>
        <w:t>said</w:t>
      </w:r>
      <w:proofErr w:type="gramEnd"/>
      <w:r>
        <w:t xml:space="preserve"> 'this cup is the new covenant in my blood.' The physical act of eating and drinking was not merely symbolic in the early church's understanding — it was participatory and constitutive. You joined what you consumed. To receive communion was to declare membership in the body of Christ, loyalty to the resurrection community, and willingness to be bound by its obligations.</w:t>
      </w:r>
    </w:p>
    <w:p w14:paraId="59C0E997" w14:textId="77777777" w:rsidR="00456256" w:rsidRDefault="00456256">
      <w:pPr>
        <w:spacing w:before="80"/>
      </w:pPr>
    </w:p>
    <w:p w14:paraId="58CE26E3" w14:textId="77777777" w:rsidR="00456256" w:rsidRDefault="00850141">
      <w:pPr>
        <w:spacing w:before="140" w:after="140" w:line="330" w:lineRule="auto"/>
        <w:jc w:val="both"/>
      </w:pPr>
      <w:r>
        <w:t xml:space="preserve">Importantly, the Eucharist was always understood as a public declaration. Paul writes in 1 Corinthians 11:26: 'For as often as ye eat this bread and drink this cup, ye do shew the Lord's death till he </w:t>
      </w:r>
      <w:proofErr w:type="gramStart"/>
      <w:r>
        <w:t>come</w:t>
      </w:r>
      <w:proofErr w:type="gramEnd"/>
      <w:r>
        <w:t xml:space="preserve">.' The word translated 'shew' is </w:t>
      </w:r>
      <w:proofErr w:type="spellStart"/>
      <w:r>
        <w:t>kataggello</w:t>
      </w:r>
      <w:proofErr w:type="spellEnd"/>
      <w:r>
        <w:t xml:space="preserve"> — to proclaim, to announce publicly. The sacrament was inherently a public act, a declaration made visible to the community.</w:t>
      </w:r>
    </w:p>
    <w:p w14:paraId="77B6B4EB" w14:textId="77777777" w:rsidR="00456256" w:rsidRDefault="00456256">
      <w:pPr>
        <w:spacing w:before="80"/>
      </w:pPr>
    </w:p>
    <w:p w14:paraId="37478F23" w14:textId="77777777" w:rsidR="00456256" w:rsidRDefault="00850141">
      <w:pPr>
        <w:pStyle w:val="Heading2"/>
      </w:pPr>
      <w:r>
        <w:t>'You Have Both': The Historical Significance</w:t>
      </w:r>
    </w:p>
    <w:p w14:paraId="4F4AFD9E" w14:textId="77777777" w:rsidR="00456256" w:rsidRDefault="00456256">
      <w:pPr>
        <w:spacing w:before="60"/>
      </w:pPr>
    </w:p>
    <w:p w14:paraId="0AF07051" w14:textId="77777777" w:rsidR="00456256" w:rsidRDefault="00850141">
      <w:pPr>
        <w:spacing w:before="140" w:after="140" w:line="330" w:lineRule="auto"/>
        <w:jc w:val="both"/>
      </w:pPr>
      <w:r>
        <w:t xml:space="preserve">'Eat, and it binds you. Drink, and you have both' — this line carries a specific theological history that most readers will miss. In the medieval Western church, the practice of communion 'in both </w:t>
      </w:r>
      <w:proofErr w:type="gramStart"/>
      <w:r>
        <w:t>kinds' —</w:t>
      </w:r>
      <w:proofErr w:type="gramEnd"/>
      <w:r>
        <w:t xml:space="preserve"> receiving both bread and wine — was restricted. The laity received only the bread. The cup was withheld, on the grounds that the whole Christ was present in either element alone. Receiving both bread and wine — communion sub </w:t>
      </w:r>
      <w:proofErr w:type="spellStart"/>
      <w:r>
        <w:t>utraque</w:t>
      </w:r>
      <w:proofErr w:type="spellEnd"/>
      <w:r>
        <w:t xml:space="preserve"> specie — was a mark of priestly status, of full initiatory access to the sacramental inner circle.</w:t>
      </w:r>
    </w:p>
    <w:p w14:paraId="451185B4" w14:textId="77777777" w:rsidR="00456256" w:rsidRDefault="00456256">
      <w:pPr>
        <w:spacing w:before="80"/>
      </w:pPr>
    </w:p>
    <w:p w14:paraId="4C431FA9" w14:textId="77777777" w:rsidR="00456256" w:rsidRDefault="00850141">
      <w:pPr>
        <w:spacing w:before="140" w:after="140" w:line="330" w:lineRule="auto"/>
        <w:jc w:val="both"/>
      </w:pPr>
      <w:r>
        <w:t xml:space="preserve">This distinction was explosive in the fifteenth century. The Hussite movement in Bohemia made 'communion in both kinds' a rallying cry — demanding that the cup be restored to the laity as a matter of theological justice. The Hussites who insisted on the cup called themselves </w:t>
      </w:r>
      <w:proofErr w:type="spellStart"/>
      <w:r>
        <w:t>Utraquists</w:t>
      </w:r>
      <w:proofErr w:type="spellEnd"/>
      <w:r>
        <w:t xml:space="preserve"> (from the Latin </w:t>
      </w:r>
      <w:proofErr w:type="spellStart"/>
      <w:r>
        <w:t>utraque</w:t>
      </w:r>
      <w:proofErr w:type="spellEnd"/>
      <w:r>
        <w:t>, meaning 'both'). The chalice became their symbol on flags and armor. The question of who gets both was, for a generation of Central Europeans, worth dying over.</w:t>
      </w:r>
    </w:p>
    <w:p w14:paraId="462264FF" w14:textId="77777777" w:rsidR="00456256" w:rsidRDefault="00456256">
      <w:pPr>
        <w:spacing w:before="80"/>
      </w:pPr>
    </w:p>
    <w:p w14:paraId="308952DE" w14:textId="77777777" w:rsidR="00456256" w:rsidRDefault="00850141">
      <w:pPr>
        <w:spacing w:before="140" w:after="140" w:line="330" w:lineRule="auto"/>
        <w:jc w:val="both"/>
      </w:pPr>
      <w:r>
        <w:t>The song's use of 'both' picks up this history. To receive both elements is to be fully initiated, fully inside, fully bound. Those who receive only one element are partial members, partially bound. The initiated receive the full covenant; others receive a version of it appropriate to their level of access.</w:t>
      </w:r>
    </w:p>
    <w:p w14:paraId="1F3CEC63" w14:textId="77777777" w:rsidR="00456256" w:rsidRDefault="00456256">
      <w:pPr>
        <w:spacing w:before="80"/>
      </w:pPr>
    </w:p>
    <w:p w14:paraId="7F454E5A" w14:textId="77777777" w:rsidR="00456256" w:rsidRDefault="00850141">
      <w:pPr>
        <w:pStyle w:val="Heading2"/>
      </w:pPr>
      <w:r>
        <w:t>The Crimson Sign and Blood Oaths</w:t>
      </w:r>
    </w:p>
    <w:p w14:paraId="20DBE256" w14:textId="77777777" w:rsidR="00456256" w:rsidRDefault="00456256">
      <w:pPr>
        <w:spacing w:before="60"/>
      </w:pPr>
    </w:p>
    <w:p w14:paraId="2E86B8A9" w14:textId="77777777" w:rsidR="00456256" w:rsidRDefault="00850141">
      <w:pPr>
        <w:spacing w:before="140" w:after="140" w:line="330" w:lineRule="auto"/>
        <w:jc w:val="both"/>
      </w:pPr>
      <w:r>
        <w:t xml:space="preserve">'The crimson sign declares a binding </w:t>
      </w:r>
      <w:proofErr w:type="gramStart"/>
      <w:r>
        <w:t>oath' —</w:t>
      </w:r>
      <w:proofErr w:type="gramEnd"/>
      <w:r>
        <w:t xml:space="preserve"> blood oaths are among the most widely documented forms of covenanting across human cultures. Herodotus (Histories, Book IV) describes the Scythian practice of mixing blood with wine and drinking it to seal treaties. Roman military officers swore the sacramentum </w:t>
      </w:r>
      <w:proofErr w:type="spellStart"/>
      <w:r>
        <w:t>militare</w:t>
      </w:r>
      <w:proofErr w:type="spellEnd"/>
      <w:r>
        <w:t xml:space="preserve">, a sacred oath of loyalty to their commander, with quasi-religious force — to break it was not merely treason but sacrilege. Medieval chivalric oaths were sometimes sealed in blood. The blood oath appears in </w:t>
      </w:r>
      <w:r>
        <w:lastRenderedPageBreak/>
        <w:t>Germanic, Celtic, Slavic, and East Asian cultures independently, suggesting it taps something fundamental in human covenant-making psychology.</w:t>
      </w:r>
    </w:p>
    <w:p w14:paraId="016706D0" w14:textId="77777777" w:rsidR="00456256" w:rsidRDefault="00456256">
      <w:pPr>
        <w:spacing w:before="80"/>
      </w:pPr>
    </w:p>
    <w:p w14:paraId="687CFDC0" w14:textId="77777777" w:rsidR="00456256" w:rsidRDefault="00850141">
      <w:pPr>
        <w:spacing w:before="140" w:after="140" w:line="330" w:lineRule="auto"/>
        <w:jc w:val="both"/>
      </w:pPr>
      <w:r>
        <w:t xml:space="preserve">What all blood oaths share is the logic of irreversibility. You cannot take back what you have consumed. The oath is physically incorporated — it is inside you now. It binds not just your word but your body. 'The crimson sign </w:t>
      </w:r>
      <w:proofErr w:type="gramStart"/>
      <w:r>
        <w:t>declares' —</w:t>
      </w:r>
      <w:proofErr w:type="gramEnd"/>
      <w:r>
        <w:t xml:space="preserve"> it doesn't merely suggest or imply. It declares. The oath is not ambiguous once the cup has touched the lip.</w:t>
      </w:r>
    </w:p>
    <w:p w14:paraId="1E1FA4B1" w14:textId="77777777" w:rsidR="00456256" w:rsidRDefault="00456256">
      <w:pPr>
        <w:spacing w:before="80"/>
      </w:pPr>
    </w:p>
    <w:p w14:paraId="3EFDD57F" w14:textId="77777777" w:rsidR="00456256" w:rsidRDefault="00850141">
      <w:pPr>
        <w:spacing w:before="140" w:after="140" w:line="330" w:lineRule="auto"/>
        <w:jc w:val="both"/>
      </w:pPr>
      <w:r>
        <w:t>The song's 'not shouted out but sealed in measured rite' describes the opposite of a public declaration. Where the Eucharist is designed to proclaim, the rite described here is designed to conceal. The binding is real; the witnesses are only those already bound. This is the operative distinction between a sacrament and an oath of secrecy: one is witnessed by the community, the other binds the community of witnesses to silence.</w:t>
      </w:r>
    </w:p>
    <w:p w14:paraId="2AF42FA5" w14:textId="77777777" w:rsidR="00456256" w:rsidRDefault="00456256">
      <w:pPr>
        <w:spacing w:before="80"/>
      </w:pPr>
    </w:p>
    <w:p w14:paraId="74D4A3DB" w14:textId="77777777" w:rsidR="00456256" w:rsidRDefault="00456256">
      <w:pPr>
        <w:pBdr>
          <w:bottom w:val="single" w:sz="4" w:space="4" w:color="B0906A"/>
        </w:pBdr>
        <w:spacing w:before="240" w:after="240"/>
      </w:pPr>
    </w:p>
    <w:p w14:paraId="1C9EFD60" w14:textId="77777777" w:rsidR="00456256" w:rsidRDefault="00456256">
      <w:pPr>
        <w:spacing w:before="160"/>
      </w:pPr>
    </w:p>
    <w:p w14:paraId="1A6B063F" w14:textId="77777777" w:rsidR="00456256" w:rsidRDefault="00850141">
      <w:pPr>
        <w:pStyle w:val="Heading1"/>
      </w:pPr>
      <w:r>
        <w:t>Part Five: The Lodge — Secret Society Imagery in Detail</w:t>
      </w:r>
    </w:p>
    <w:p w14:paraId="16DB6579" w14:textId="77777777" w:rsidR="00456256" w:rsidRDefault="00456256">
      <w:pPr>
        <w:spacing w:before="60"/>
      </w:pPr>
    </w:p>
    <w:p w14:paraId="79D08A7A" w14:textId="77777777" w:rsidR="00456256" w:rsidRDefault="00850141">
      <w:pPr>
        <w:spacing w:before="140" w:after="140" w:line="330" w:lineRule="auto"/>
        <w:jc w:val="both"/>
      </w:pPr>
      <w:r>
        <w:t>The fourth verse is the most explicit in its engagement with documented institutional practice:</w:t>
      </w:r>
    </w:p>
    <w:p w14:paraId="505D5B03" w14:textId="77777777" w:rsidR="00456256" w:rsidRDefault="00456256">
      <w:pPr>
        <w:spacing w:before="80"/>
      </w:pPr>
    </w:p>
    <w:p w14:paraId="28796320" w14:textId="77777777" w:rsidR="00456256" w:rsidRDefault="00850141">
      <w:pPr>
        <w:pBdr>
          <w:left w:val="single" w:sz="8" w:space="14" w:color="7A5C3A"/>
        </w:pBdr>
        <w:spacing w:before="100" w:after="100" w:line="280" w:lineRule="auto"/>
        <w:ind w:left="800" w:right="800"/>
      </w:pPr>
      <w:r>
        <w:rPr>
          <w:i/>
          <w:iCs/>
          <w:color w:val="4A3728"/>
          <w:sz w:val="22"/>
          <w:szCs w:val="22"/>
        </w:rPr>
        <w:t>Beneath the planks a doctrine older still / Lies ordered there in quiet symmetry. / Skull beside bone, the remnants of past crowns, / Breath-hollowed chambers turned to policy.</w:t>
      </w:r>
    </w:p>
    <w:p w14:paraId="53DC7EB7" w14:textId="77777777" w:rsidR="00456256" w:rsidRDefault="00456256">
      <w:pPr>
        <w:spacing w:before="80"/>
      </w:pPr>
    </w:p>
    <w:p w14:paraId="4CF6263F" w14:textId="77777777" w:rsidR="00456256" w:rsidRDefault="00850141">
      <w:pPr>
        <w:pStyle w:val="Heading2"/>
      </w:pPr>
      <w:r>
        <w:t>Freemasonry: The Checkered Floor</w:t>
      </w:r>
    </w:p>
    <w:p w14:paraId="1A260AB7" w14:textId="77777777" w:rsidR="00456256" w:rsidRDefault="00456256">
      <w:pPr>
        <w:spacing w:before="60"/>
      </w:pPr>
    </w:p>
    <w:p w14:paraId="4075E16D" w14:textId="77777777" w:rsidR="00456256" w:rsidRDefault="00850141">
      <w:pPr>
        <w:spacing w:before="140" w:after="140" w:line="330" w:lineRule="auto"/>
        <w:jc w:val="both"/>
      </w:pPr>
      <w:r>
        <w:lastRenderedPageBreak/>
        <w:t>Freemasonry in its modern organized form traces to 1717, when four London lodges formed the first Grand Lodge of England. But its ritual materials and symbolic vocabulary are far older, drawing on operative stonemason guild traditions, Rosicrucian and Hermetic texts, and Christian symbolic theology. The Craft (as members call it) organizes initiation through a sequence of degrees, each conferring additional ritual knowledge and moral instruction.</w:t>
      </w:r>
    </w:p>
    <w:p w14:paraId="0555EF5D" w14:textId="77777777" w:rsidR="00456256" w:rsidRDefault="00456256">
      <w:pPr>
        <w:spacing w:before="80"/>
      </w:pPr>
    </w:p>
    <w:p w14:paraId="4CCC7151" w14:textId="77777777" w:rsidR="00456256" w:rsidRDefault="00850141">
      <w:pPr>
        <w:spacing w:before="140" w:after="140" w:line="330" w:lineRule="auto"/>
        <w:jc w:val="both"/>
      </w:pPr>
      <w:r>
        <w:t xml:space="preserve">The lodge room itself is architecturally significant. It is oriented to replicate, in symbolic terms, the floor plan of Solomon's Temple in Jerusalem. The floor is laid in a black-and-white checkered pattern called the mosaic pavement. This pattern is explicitly theological in Masonic interpretation: the alternation of light and dark squares represents the dual nature of earthly life — good and evil, life and death, knowledge and ignorance existing in necessary alternation. 'Beneath the </w:t>
      </w:r>
      <w:proofErr w:type="gramStart"/>
      <w:r>
        <w:t>planks' —</w:t>
      </w:r>
      <w:proofErr w:type="gramEnd"/>
      <w:r>
        <w:t xml:space="preserve"> the song's image — places the doctrine literally underfoot: it is the foundation you walk on, present in every step, invisible only because it is so thoroughly beneath you.</w:t>
      </w:r>
    </w:p>
    <w:p w14:paraId="5A24028C" w14:textId="77777777" w:rsidR="00456256" w:rsidRDefault="00456256">
      <w:pPr>
        <w:spacing w:before="80"/>
      </w:pPr>
    </w:p>
    <w:p w14:paraId="328291B2" w14:textId="77777777" w:rsidR="00456256" w:rsidRDefault="00850141">
      <w:pPr>
        <w:spacing w:before="140" w:after="140" w:line="330" w:lineRule="auto"/>
        <w:jc w:val="both"/>
      </w:pPr>
      <w:r>
        <w:t>'Quiet symmetry' is an exact description of Masonic ritual practice. Every movement in lodge ceremony is prescribed and geometrically precise. Officers enter and depart in specified directions. Steps are counted. Words are spoken at exact moments in exact formulas. The square and compass — tools of geometric precision — are the primary emblems of the Craft precisely because God is understood as the Great Architect and the Mason worships through the discipline of exact, measured order. Chaos is the enemy; symmetry is the theological statement.</w:t>
      </w:r>
    </w:p>
    <w:p w14:paraId="561C3586" w14:textId="77777777" w:rsidR="00456256" w:rsidRDefault="00456256">
      <w:pPr>
        <w:spacing w:before="80"/>
      </w:pPr>
    </w:p>
    <w:p w14:paraId="133E4A0C" w14:textId="77777777" w:rsidR="00456256" w:rsidRDefault="00850141">
      <w:pPr>
        <w:pStyle w:val="Heading2"/>
      </w:pPr>
      <w:r>
        <w:t>The Third Degree: Death and Resurrection</w:t>
      </w:r>
    </w:p>
    <w:p w14:paraId="57AB6535" w14:textId="77777777" w:rsidR="00456256" w:rsidRDefault="00456256">
      <w:pPr>
        <w:spacing w:before="60"/>
      </w:pPr>
    </w:p>
    <w:p w14:paraId="65567A98" w14:textId="77777777" w:rsidR="00456256" w:rsidRDefault="00850141">
      <w:pPr>
        <w:spacing w:before="140" w:after="140" w:line="330" w:lineRule="auto"/>
        <w:jc w:val="both"/>
      </w:pPr>
      <w:r>
        <w:t xml:space="preserve">The third degree of Freemasonry — the Master Mason degree — involves a dramatic ritual re-enactment of the legend of Hiram Abiff. Hiram, identified in 1 Kings 7 as the chief craftsman of Solomon's Temple, is described in Masonic tradition as the keeper of the Master's Word — the secret name or formula that confers full Masonic authority. According to the legend, three ruffians attempted to extract this word from Hiram, and when he refused to reveal it, they killed him. The Master Mason candidate plays the role </w:t>
      </w:r>
      <w:r>
        <w:lastRenderedPageBreak/>
        <w:t>of Hiram: he is ritually 'killed' by his fellow lodge members and then 'raised' from a symbolic grave by the Worshipful Master, using the specific grips and words of the degree. The candidate lies prostrate on the lodge floor — beneath the checkered planks — in enacted death before being raised to full Masonic standing.</w:t>
      </w:r>
    </w:p>
    <w:p w14:paraId="41A9F8FA" w14:textId="77777777" w:rsidR="00456256" w:rsidRDefault="00456256">
      <w:pPr>
        <w:spacing w:before="80"/>
      </w:pPr>
    </w:p>
    <w:p w14:paraId="30C16DE8" w14:textId="77777777" w:rsidR="00456256" w:rsidRDefault="00850141">
      <w:pPr>
        <w:spacing w:before="140" w:after="140" w:line="330" w:lineRule="auto"/>
        <w:jc w:val="both"/>
      </w:pPr>
      <w:r>
        <w:t>This ritual context gives 'breath-hollowed chambers turned to policy' a specific charge. The hollowed chambers are the ritual grave, the skull, the lodge room itself — spaces where symbolic death and rebirth occur. 'Turned to policy' is the song's critical move: it connects the ritual chamber to real-world consequence. The allegiances forged in initiatory rite — the mutual obligations, the shared secrets, the bonds of the raised — do not stay in the lodge room. They travel into boardrooms, legislative chambers, judicial appointments, and executive decisions.</w:t>
      </w:r>
    </w:p>
    <w:p w14:paraId="07A22404" w14:textId="77777777" w:rsidR="00456256" w:rsidRDefault="00456256">
      <w:pPr>
        <w:spacing w:before="80"/>
      </w:pPr>
    </w:p>
    <w:p w14:paraId="724C72E9" w14:textId="77777777" w:rsidR="00456256" w:rsidRDefault="00850141">
      <w:pPr>
        <w:pStyle w:val="Heading2"/>
      </w:pPr>
      <w:r>
        <w:t>Skull and Bones: Yale, 1832</w:t>
      </w:r>
    </w:p>
    <w:p w14:paraId="79E13D17" w14:textId="77777777" w:rsidR="00456256" w:rsidRDefault="00456256">
      <w:pPr>
        <w:spacing w:before="60"/>
      </w:pPr>
    </w:p>
    <w:p w14:paraId="50F1A3A6" w14:textId="77777777" w:rsidR="00456256" w:rsidRDefault="00850141">
      <w:pPr>
        <w:spacing w:before="140" w:after="140" w:line="330" w:lineRule="auto"/>
        <w:jc w:val="both"/>
      </w:pPr>
      <w:r>
        <w:t>'Skull beside bone' invokes a specific American institution that has been documented, if not fully opened, by journalists and historians. Skull and Bones is a secret society founded at Yale University in 1832 by William Huntington Russell and Alphonso Taft. Its formal name is the Brotherhood of Death. Its meeting hall on the Yale campus is called the Tomb — a windowless stone building that has been the site of initiation rituals for nearly two centuries.</w:t>
      </w:r>
    </w:p>
    <w:p w14:paraId="612000BA" w14:textId="77777777" w:rsidR="00456256" w:rsidRDefault="00456256">
      <w:pPr>
        <w:spacing w:before="80"/>
      </w:pPr>
    </w:p>
    <w:p w14:paraId="23C8CF37" w14:textId="77777777" w:rsidR="00456256" w:rsidRDefault="00850141">
      <w:pPr>
        <w:spacing w:before="140" w:after="140" w:line="330" w:lineRule="auto"/>
        <w:jc w:val="both"/>
      </w:pPr>
      <w:r>
        <w:t>Membership is by invitation only, extended to fifteen Yale seniors each year in a process called 'tapping.' Once tapped, members are forbidden to acknowledge the society's existence to non-members. The initiation rituals, conducted in the Tomb, have been partially described by members who broke the vow of silence: they reportedly include lying in a coffin, confessing sexual history, and swearing oaths of lifelong loyalty. Skull and bones on the wall of the Tomb are not decorative — they are ritual objects with the same memento mori function as in Masonic practice: reminders of mortality and the seriousness of the oath being sworn.</w:t>
      </w:r>
    </w:p>
    <w:p w14:paraId="69C23D2E" w14:textId="77777777" w:rsidR="00456256" w:rsidRDefault="00456256">
      <w:pPr>
        <w:spacing w:before="80"/>
      </w:pPr>
    </w:p>
    <w:p w14:paraId="5BB2037F" w14:textId="77777777" w:rsidR="00456256" w:rsidRDefault="00850141">
      <w:pPr>
        <w:spacing w:before="140" w:after="140" w:line="330" w:lineRule="auto"/>
        <w:jc w:val="both"/>
      </w:pPr>
      <w:r>
        <w:lastRenderedPageBreak/>
        <w:t>The membership rolls of Skull and Bones read as a map of twentieth-century American power. William Howard Taft (U.S. President, Chief Justice of the Supreme Court). George H.W. Bush (CIA Director, Vice President, President). George W. Bush (President). John Kerry (Senator, Secretary of State). James Schlesinger (Secretary of Defense). David Boren (Senator, Chairman of the Senate Intelligence Committee). Austan Goolsbee (Chairman of the Council of Economic Advisers). Porter Goss (CIA Director). The society has produced, in approximately 190 years of operation, a remarkable concentration of officials in the senior levels of American national security, finance, and diplomacy.</w:t>
      </w:r>
    </w:p>
    <w:p w14:paraId="573D0DA8" w14:textId="77777777" w:rsidR="00456256" w:rsidRDefault="00456256">
      <w:pPr>
        <w:spacing w:before="80"/>
      </w:pPr>
    </w:p>
    <w:p w14:paraId="5C41BCCC" w14:textId="77777777" w:rsidR="00456256" w:rsidRDefault="00850141">
      <w:pPr>
        <w:spacing w:before="140" w:after="140" w:line="330" w:lineRule="auto"/>
        <w:jc w:val="both"/>
      </w:pPr>
      <w:r>
        <w:t>This is the song's 'remnants of past crowns': not literal crowns, but the institutional memory of who held power, who was anointed by the network to hold it next, and how that succession was managed through rites that left no public record.</w:t>
      </w:r>
    </w:p>
    <w:p w14:paraId="60F4C4FC" w14:textId="77777777" w:rsidR="00456256" w:rsidRDefault="00456256">
      <w:pPr>
        <w:spacing w:before="80"/>
      </w:pPr>
    </w:p>
    <w:p w14:paraId="2935E073" w14:textId="77777777" w:rsidR="00456256" w:rsidRDefault="00850141">
      <w:pPr>
        <w:pStyle w:val="Heading2"/>
      </w:pPr>
      <w:r>
        <w:t>The Bohemian Grove</w:t>
      </w:r>
    </w:p>
    <w:p w14:paraId="12F05AA5" w14:textId="77777777" w:rsidR="00456256" w:rsidRDefault="00456256">
      <w:pPr>
        <w:spacing w:before="60"/>
      </w:pPr>
    </w:p>
    <w:p w14:paraId="29D22EA1" w14:textId="77777777" w:rsidR="00456256" w:rsidRDefault="00850141">
      <w:pPr>
        <w:spacing w:before="140" w:after="140" w:line="330" w:lineRule="auto"/>
        <w:jc w:val="both"/>
      </w:pPr>
      <w:r>
        <w:t>The song's imagery of men gathering in private for rituals conducted away from public knowledge also maps onto the Bohemian Club's annual encampment at the Bohemian Grove in Monte Rio, California. The Bohemian Club was founded in San Francisco in 1872 initially as a literary and artistic association. It evolved into an exclusive men's club drawing membership from the highest levels of American political, corporate, financial, and media life.</w:t>
      </w:r>
    </w:p>
    <w:p w14:paraId="7F53A349" w14:textId="77777777" w:rsidR="00456256" w:rsidRDefault="00456256">
      <w:pPr>
        <w:spacing w:before="80"/>
      </w:pPr>
    </w:p>
    <w:p w14:paraId="46AC2EB1" w14:textId="77777777" w:rsidR="00456256" w:rsidRDefault="00850141">
      <w:pPr>
        <w:spacing w:before="140" w:after="140" w:line="330" w:lineRule="auto"/>
        <w:jc w:val="both"/>
      </w:pPr>
      <w:r>
        <w:t xml:space="preserve">Each July, several hundred members and their guests retreat to a 2,700-acre redwood grove for a two-week encampment. The gathering opens with a ceremony called the Cremation of Care — a theatrical ritual in which a </w:t>
      </w:r>
      <w:proofErr w:type="gramStart"/>
      <w:r>
        <w:t>robed</w:t>
      </w:r>
      <w:proofErr w:type="gramEnd"/>
      <w:r>
        <w:t xml:space="preserve"> figure representing worldly anxieties is burned in effigy before a forty-foot stone owl called the Great Owl of Bohemia. Members process in hooded robes. The ceremony is accompanied by orchestral music. Cameras are prohibited. The press is excluded. What is said in the grove stays in the grove.</w:t>
      </w:r>
    </w:p>
    <w:p w14:paraId="568809DA" w14:textId="77777777" w:rsidR="00456256" w:rsidRDefault="00456256">
      <w:pPr>
        <w:spacing w:before="80"/>
      </w:pPr>
    </w:p>
    <w:p w14:paraId="3BEEC9F6" w14:textId="77777777" w:rsidR="00456256" w:rsidRDefault="00850141">
      <w:pPr>
        <w:spacing w:before="140" w:after="140" w:line="330" w:lineRule="auto"/>
        <w:jc w:val="both"/>
      </w:pPr>
      <w:r>
        <w:t xml:space="preserve">The guest lists for various encampments have been partially reconstructed through documents obtained by journalists and from members who spoke on background. Richard Nixon, Ronald Reagan, Henry Kissinger, Dick Cheney, Donald Rumsfeld, George </w:t>
      </w:r>
      <w:r>
        <w:lastRenderedPageBreak/>
        <w:t>Shultz, Colin Powell, George H.W. Bush, David Rockefeller, and the CEOs of major American defense contractors, banks, and media companies have all attended. Nixon, in a White House recording from 1971, described the event in colorful and dismissive terms — while having attended for decades. Reagan was present in 1967 when he and Nixon reportedly reached an informal understanding that Reagan would not challenge Nixon for the 1968 Republican presidential nomination: a consequential political agreement reached in a private grove, in the absence of any public witness or democratic process.</w:t>
      </w:r>
    </w:p>
    <w:p w14:paraId="52C6AD12" w14:textId="77777777" w:rsidR="00456256" w:rsidRDefault="00456256">
      <w:pPr>
        <w:spacing w:before="80"/>
      </w:pPr>
    </w:p>
    <w:p w14:paraId="2AEA690D" w14:textId="77777777" w:rsidR="00456256" w:rsidRDefault="00850141">
      <w:pPr>
        <w:spacing w:before="140" w:after="140" w:line="330" w:lineRule="auto"/>
        <w:jc w:val="both"/>
      </w:pPr>
      <w:r>
        <w:t>The Bohemian Grove is not criminal. No law prohibits wealthy men from gathering in a forest and performing theatrical rituals. But it is the operational embodiment of the song's image: the feast begun that no one is told about, conducted in a space with no trumpets to call the village, under a canopy of redwoods that serves the same structural function as a veil.</w:t>
      </w:r>
    </w:p>
    <w:p w14:paraId="7DCCE592" w14:textId="77777777" w:rsidR="00456256" w:rsidRDefault="00456256">
      <w:pPr>
        <w:spacing w:before="80"/>
      </w:pPr>
    </w:p>
    <w:p w14:paraId="389007AD" w14:textId="77777777" w:rsidR="00456256" w:rsidRDefault="00456256">
      <w:pPr>
        <w:pBdr>
          <w:bottom w:val="single" w:sz="4" w:space="4" w:color="B0906A"/>
        </w:pBdr>
        <w:spacing w:before="240" w:after="240"/>
      </w:pPr>
    </w:p>
    <w:p w14:paraId="08835895" w14:textId="77777777" w:rsidR="00456256" w:rsidRDefault="00456256">
      <w:pPr>
        <w:spacing w:before="160"/>
      </w:pPr>
    </w:p>
    <w:p w14:paraId="31EA12B6" w14:textId="77777777" w:rsidR="00456256" w:rsidRDefault="00850141">
      <w:pPr>
        <w:pStyle w:val="Heading1"/>
      </w:pPr>
      <w:r>
        <w:t>Part Six: Succession — How Power Replicates Itself</w:t>
      </w:r>
    </w:p>
    <w:p w14:paraId="7BDCAE00" w14:textId="77777777" w:rsidR="00456256" w:rsidRDefault="00456256">
      <w:pPr>
        <w:spacing w:before="60"/>
      </w:pPr>
    </w:p>
    <w:p w14:paraId="5C0C26B1" w14:textId="77777777" w:rsidR="00456256" w:rsidRDefault="00850141">
      <w:pPr>
        <w:spacing w:before="140" w:after="140" w:line="330" w:lineRule="auto"/>
        <w:jc w:val="both"/>
      </w:pPr>
      <w:r>
        <w:t>The bridge and the spoken interlude address how power transfers between generations of the initiated:</w:t>
      </w:r>
    </w:p>
    <w:p w14:paraId="59353555" w14:textId="77777777" w:rsidR="00456256" w:rsidRDefault="00456256">
      <w:pPr>
        <w:spacing w:before="80"/>
      </w:pPr>
    </w:p>
    <w:p w14:paraId="694BE055" w14:textId="77777777" w:rsidR="00456256" w:rsidRDefault="00850141">
      <w:pPr>
        <w:pBdr>
          <w:left w:val="single" w:sz="8" w:space="14" w:color="7A5C3A"/>
        </w:pBdr>
        <w:spacing w:before="100" w:after="100" w:line="280" w:lineRule="auto"/>
        <w:ind w:left="800" w:right="800"/>
      </w:pPr>
      <w:r>
        <w:rPr>
          <w:i/>
          <w:iCs/>
          <w:color w:val="4A3728"/>
          <w:sz w:val="22"/>
          <w:szCs w:val="22"/>
        </w:rPr>
        <w:t xml:space="preserve">They choose and are chosen. The circlets pass. / Brow to </w:t>
      </w:r>
      <w:proofErr w:type="gramStart"/>
      <w:r>
        <w:rPr>
          <w:i/>
          <w:iCs/>
          <w:color w:val="4A3728"/>
          <w:sz w:val="22"/>
          <w:szCs w:val="22"/>
        </w:rPr>
        <w:t>waiting</w:t>
      </w:r>
      <w:proofErr w:type="gramEnd"/>
      <w:r>
        <w:rPr>
          <w:i/>
          <w:iCs/>
          <w:color w:val="4A3728"/>
          <w:sz w:val="22"/>
          <w:szCs w:val="22"/>
        </w:rPr>
        <w:t xml:space="preserve"> brow the crowning turns. / The taper burns unmoving in its glass. / This is the war the waking world unlearns.</w:t>
      </w:r>
    </w:p>
    <w:p w14:paraId="1EEA10A5" w14:textId="77777777" w:rsidR="00456256" w:rsidRDefault="00456256">
      <w:pPr>
        <w:spacing w:before="80"/>
      </w:pPr>
    </w:p>
    <w:p w14:paraId="148D55C6" w14:textId="77777777" w:rsidR="00456256" w:rsidRDefault="00850141">
      <w:pPr>
        <w:spacing w:before="140" w:after="140" w:line="330" w:lineRule="auto"/>
        <w:jc w:val="both"/>
      </w:pPr>
      <w:r>
        <w:t xml:space="preserve">A circlet is a small, plain crown — simpler than a royal crown but carrying the same essential symbolism of legitimized authority. The phrase 'brow to </w:t>
      </w:r>
      <w:proofErr w:type="gramStart"/>
      <w:r>
        <w:t>waiting</w:t>
      </w:r>
      <w:proofErr w:type="gramEnd"/>
      <w:r>
        <w:t xml:space="preserve"> brow the crowning turns' describes a succession of coronations: the outgoing holder of power places the circlet on the head of the incoming holder, and the transfer is accomplished not through public election or declared merit but through the judgment of the </w:t>
      </w:r>
      <w:proofErr w:type="gramStart"/>
      <w:r>
        <w:t>already-</w:t>
      </w:r>
      <w:r>
        <w:lastRenderedPageBreak/>
        <w:t>crowned</w:t>
      </w:r>
      <w:proofErr w:type="gramEnd"/>
      <w:r>
        <w:t>. 'They choose and are chosen' captures the self-perpetuating logic: membership in the network is the qualification for selecting the next member of the network.</w:t>
      </w:r>
    </w:p>
    <w:p w14:paraId="0D203984" w14:textId="77777777" w:rsidR="00456256" w:rsidRDefault="00456256">
      <w:pPr>
        <w:spacing w:before="80"/>
      </w:pPr>
    </w:p>
    <w:p w14:paraId="284B335A" w14:textId="77777777" w:rsidR="00456256" w:rsidRDefault="00850141">
      <w:pPr>
        <w:spacing w:before="140" w:after="140" w:line="330" w:lineRule="auto"/>
        <w:jc w:val="both"/>
      </w:pPr>
      <w:r>
        <w:t xml:space="preserve">This is a structurally documentable feature of elite institutional reproduction. Skull and Bones members tap Skull and Bones members. Bohemian Club members sponsor new Bohemian Club members. Investment banking partnerships select their own successors. Judicial networks </w:t>
      </w:r>
      <w:proofErr w:type="gramStart"/>
      <w:r>
        <w:t>recommend to</w:t>
      </w:r>
      <w:proofErr w:type="gramEnd"/>
      <w:r>
        <w:t xml:space="preserve"> judicial networks. The institutions are not open competitions — they are, by design, self-selecting systems that reproduce the social and ideological character of their existing membership across generations.</w:t>
      </w:r>
    </w:p>
    <w:p w14:paraId="67FDD896" w14:textId="77777777" w:rsidR="00456256" w:rsidRDefault="00456256">
      <w:pPr>
        <w:spacing w:before="80"/>
      </w:pPr>
    </w:p>
    <w:p w14:paraId="106AEAFB" w14:textId="77777777" w:rsidR="00456256" w:rsidRDefault="00850141">
      <w:pPr>
        <w:spacing w:before="140" w:after="140" w:line="330" w:lineRule="auto"/>
        <w:jc w:val="both"/>
      </w:pPr>
      <w:r>
        <w:t>Sociologists call this 'elite network reproduction.' Pierre Bourdieu's analysis of social capital — the resources that accrue from membership in durable networks of mutual acquaintance and recognition — is the academic framework for understanding what the song describes in ritual imagery. The circlet passing from brow to brow is the physical metaphor for social capital being transferred: the new member inherits not just membership but the accumulated relational leverage of the network, which is itself a form of political and economic power.</w:t>
      </w:r>
    </w:p>
    <w:p w14:paraId="70C555A7" w14:textId="77777777" w:rsidR="00456256" w:rsidRDefault="00456256">
      <w:pPr>
        <w:spacing w:before="80"/>
      </w:pPr>
    </w:p>
    <w:p w14:paraId="5D73E9E4" w14:textId="77777777" w:rsidR="00456256" w:rsidRDefault="00850141">
      <w:pPr>
        <w:spacing w:before="140" w:after="140" w:line="330" w:lineRule="auto"/>
        <w:jc w:val="both"/>
      </w:pPr>
      <w:r>
        <w:t xml:space="preserve">'The taper burns unmoving in its </w:t>
      </w:r>
      <w:proofErr w:type="gramStart"/>
      <w:r>
        <w:t>glass' —</w:t>
      </w:r>
      <w:proofErr w:type="gramEnd"/>
      <w:r>
        <w:t xml:space="preserve"> a taper is a thin candle, and a glass around it protects the flame from wind. In ritual contexts, candles represent continuity: the flame passed from altar candle to altar candle across generations of ceremony. The glass that protects it from wind also prevents anyone outside from reaching it. The continuity of the flame is secured precisely by its enclosure.</w:t>
      </w:r>
    </w:p>
    <w:p w14:paraId="42E0C457" w14:textId="77777777" w:rsidR="00456256" w:rsidRDefault="00456256">
      <w:pPr>
        <w:spacing w:before="80"/>
      </w:pPr>
    </w:p>
    <w:p w14:paraId="43D928C1" w14:textId="77777777" w:rsidR="00456256" w:rsidRDefault="00850141">
      <w:pPr>
        <w:spacing w:before="140" w:after="140" w:line="330" w:lineRule="auto"/>
        <w:jc w:val="both"/>
      </w:pPr>
      <w:r>
        <w:t xml:space="preserve">'This is the war the waking world </w:t>
      </w:r>
      <w:proofErr w:type="gramStart"/>
      <w:r>
        <w:t>unlearns' —</w:t>
      </w:r>
      <w:proofErr w:type="gramEnd"/>
      <w:r>
        <w:t xml:space="preserve"> this is the song's most despairing observation. The understanding of how power actually operates — through rite, oath, network, and the reproduction of initiated elites — is not ignorance that was never acquired; it is knowledge that has been systematically forgotten, that the waking world has been taught to unlearn. Conspiracy as a category has been so thoroughly discredited as a mode of analysis that accurate description of documented institutional behavior becomes indistinguishable, in public discourse, from paranoid fantasy. The song names this as a form of warfare: the battlefield is epistemological, and ground is being lost.</w:t>
      </w:r>
    </w:p>
    <w:p w14:paraId="7CFD4435" w14:textId="77777777" w:rsidR="00456256" w:rsidRDefault="00456256">
      <w:pPr>
        <w:spacing w:before="80"/>
      </w:pPr>
    </w:p>
    <w:p w14:paraId="1B2EAC21" w14:textId="77777777" w:rsidR="00456256" w:rsidRDefault="00456256">
      <w:pPr>
        <w:pBdr>
          <w:bottom w:val="single" w:sz="4" w:space="4" w:color="B0906A"/>
        </w:pBdr>
        <w:spacing w:before="240" w:after="240"/>
      </w:pPr>
    </w:p>
    <w:p w14:paraId="688E1FAA" w14:textId="77777777" w:rsidR="00456256" w:rsidRDefault="00456256">
      <w:pPr>
        <w:spacing w:before="160"/>
      </w:pPr>
    </w:p>
    <w:p w14:paraId="2F61A702" w14:textId="77777777" w:rsidR="00456256" w:rsidRDefault="00850141">
      <w:pPr>
        <w:pStyle w:val="Heading1"/>
      </w:pPr>
      <w:r>
        <w:t>Part Seven: The Cold Hearths and the Hedged Estate</w:t>
      </w:r>
    </w:p>
    <w:p w14:paraId="5050C0EE" w14:textId="77777777" w:rsidR="00456256" w:rsidRDefault="00456256">
      <w:pPr>
        <w:spacing w:before="60"/>
      </w:pPr>
    </w:p>
    <w:p w14:paraId="4506560F" w14:textId="77777777" w:rsidR="00456256" w:rsidRDefault="00850141">
      <w:pPr>
        <w:spacing w:before="140" w:after="140" w:line="330" w:lineRule="auto"/>
        <w:jc w:val="both"/>
      </w:pPr>
      <w:r>
        <w:t>The fifth verse is where the song makes its most explicitly political argument about consequence:</w:t>
      </w:r>
    </w:p>
    <w:p w14:paraId="1F2050FF" w14:textId="77777777" w:rsidR="00456256" w:rsidRDefault="00456256">
      <w:pPr>
        <w:spacing w:before="80"/>
      </w:pPr>
    </w:p>
    <w:p w14:paraId="35D00E6B" w14:textId="77777777" w:rsidR="00456256" w:rsidRDefault="00850141">
      <w:pPr>
        <w:pBdr>
          <w:left w:val="single" w:sz="8" w:space="14" w:color="7A5C3A"/>
        </w:pBdr>
        <w:spacing w:before="100" w:after="100" w:line="280" w:lineRule="auto"/>
        <w:ind w:left="800" w:right="800"/>
      </w:pPr>
      <w:r>
        <w:rPr>
          <w:i/>
          <w:iCs/>
          <w:color w:val="4A3728"/>
          <w:sz w:val="22"/>
          <w:szCs w:val="22"/>
        </w:rPr>
        <w:t xml:space="preserve">Beyond the veil the common hearths grow cold, / Unblessed the daily bread of common homes. / No summons travels past the hedged </w:t>
      </w:r>
      <w:proofErr w:type="gramStart"/>
      <w:r>
        <w:rPr>
          <w:i/>
          <w:iCs/>
          <w:color w:val="4A3728"/>
          <w:sz w:val="22"/>
          <w:szCs w:val="22"/>
        </w:rPr>
        <w:t>estate — /</w:t>
      </w:r>
      <w:proofErr w:type="gramEnd"/>
      <w:r>
        <w:rPr>
          <w:i/>
          <w:iCs/>
          <w:color w:val="4A3728"/>
          <w:sz w:val="22"/>
          <w:szCs w:val="22"/>
        </w:rPr>
        <w:t xml:space="preserve"> The outer world lies sleeping, left alone.</w:t>
      </w:r>
    </w:p>
    <w:p w14:paraId="09C5F92A" w14:textId="77777777" w:rsidR="00456256" w:rsidRDefault="00456256">
      <w:pPr>
        <w:spacing w:before="80"/>
      </w:pPr>
    </w:p>
    <w:p w14:paraId="0AF46F04" w14:textId="77777777" w:rsidR="00456256" w:rsidRDefault="00850141">
      <w:pPr>
        <w:pStyle w:val="Heading2"/>
      </w:pPr>
      <w:r>
        <w:t>The Hearth as Symbol</w:t>
      </w:r>
    </w:p>
    <w:p w14:paraId="5E53AD1D" w14:textId="77777777" w:rsidR="00456256" w:rsidRDefault="00456256">
      <w:pPr>
        <w:spacing w:before="60"/>
      </w:pPr>
    </w:p>
    <w:p w14:paraId="4B25285F" w14:textId="77777777" w:rsidR="00456256" w:rsidRDefault="00850141">
      <w:pPr>
        <w:spacing w:before="140" w:after="140" w:line="330" w:lineRule="auto"/>
        <w:jc w:val="both"/>
      </w:pPr>
      <w:r>
        <w:t xml:space="preserve">The hearth has served as the central symbol of domestic life across virtually every culture that has left written records. In ancient Rome, Vesta was the goddess of the hearth; her temple in the Roman Forum housed an eternal flame tended by the Vestal Virgins, representing the communal hearth of the Roman state. In Greek religion, Hestia held the same role — she was the first-born of the Titans, eldest sister of Zeus, and received the first and last offering at every sacrifice. In Norse culture, the </w:t>
      </w:r>
      <w:proofErr w:type="spellStart"/>
      <w:r>
        <w:t>hearthfire</w:t>
      </w:r>
      <w:proofErr w:type="spellEnd"/>
      <w:r>
        <w:t xml:space="preserve"> was the center of family religious life. The hearth is where daily existence </w:t>
      </w:r>
      <w:proofErr w:type="gramStart"/>
      <w:r>
        <w:t>happens:</w:t>
      </w:r>
      <w:proofErr w:type="gramEnd"/>
      <w:r>
        <w:t xml:space="preserve"> warmth, cooking, the small ceremonies of morning and evening, the shared meals of ordinary life.</w:t>
      </w:r>
    </w:p>
    <w:p w14:paraId="6B8AA17F" w14:textId="77777777" w:rsidR="00456256" w:rsidRDefault="00456256">
      <w:pPr>
        <w:spacing w:before="80"/>
      </w:pPr>
    </w:p>
    <w:p w14:paraId="40626EF0" w14:textId="77777777" w:rsidR="00456256" w:rsidRDefault="00850141">
      <w:pPr>
        <w:spacing w:before="140" w:after="140" w:line="330" w:lineRule="auto"/>
        <w:jc w:val="both"/>
      </w:pPr>
      <w:r>
        <w:t xml:space="preserve">Cold hearths mean abandoned households. When the hearths grow cold, the forces that should sustain ordinary life have withdrawn or been captured entirely by the consecrated inner circle. 'Unblessed the daily bread of common homes' references the Lord's </w:t>
      </w:r>
      <w:proofErr w:type="gramStart"/>
      <w:r>
        <w:t>Prayer — '</w:t>
      </w:r>
      <w:proofErr w:type="gramEnd"/>
      <w:r>
        <w:t xml:space="preserve">give us this day our daily </w:t>
      </w:r>
      <w:proofErr w:type="gramStart"/>
      <w:r>
        <w:t>bread' —</w:t>
      </w:r>
      <w:proofErr w:type="gramEnd"/>
      <w:r>
        <w:t xml:space="preserve"> in which the petition is made for the sufficiency of ordinary sustenance for ordinary people. The priestly function in ancient Israel included the blessing of the common life: the priest was supposed to carry the sacred into the profane, to bring the blessing out from the inner court into the lives of ordinary people. </w:t>
      </w:r>
      <w:r>
        <w:lastRenderedPageBreak/>
        <w:t xml:space="preserve">In the world the song </w:t>
      </w:r>
      <w:proofErr w:type="gramStart"/>
      <w:r>
        <w:t>describes,</w:t>
      </w:r>
      <w:proofErr w:type="gramEnd"/>
      <w:r>
        <w:t xml:space="preserve"> the blessing stays behind the veil. The common bread goes unconsecrated.</w:t>
      </w:r>
    </w:p>
    <w:p w14:paraId="1B46B2F3" w14:textId="77777777" w:rsidR="00456256" w:rsidRDefault="00456256">
      <w:pPr>
        <w:spacing w:before="80"/>
      </w:pPr>
    </w:p>
    <w:p w14:paraId="024BCBE1" w14:textId="77777777" w:rsidR="00456256" w:rsidRDefault="00850141">
      <w:pPr>
        <w:pStyle w:val="Heading2"/>
      </w:pPr>
      <w:r>
        <w:t>The Hedged Estate</w:t>
      </w:r>
    </w:p>
    <w:p w14:paraId="30D921AC" w14:textId="77777777" w:rsidR="00456256" w:rsidRDefault="00456256">
      <w:pPr>
        <w:spacing w:before="60"/>
      </w:pPr>
    </w:p>
    <w:p w14:paraId="14EDA067" w14:textId="77777777" w:rsidR="00456256" w:rsidRDefault="00850141">
      <w:pPr>
        <w:spacing w:before="140" w:after="140" w:line="330" w:lineRule="auto"/>
        <w:jc w:val="both"/>
      </w:pPr>
      <w:r>
        <w:t>The hedge as a marker of enclosed private property has a specific and contested English history that the song invokes. The Enclosure Acts of the eighteenth and nineteenth centuries converted millions of acres of common land — land that had been legally available for the use of ordinary rural people — into private property, surrounded by hedges and fences. The commons, where peasants had grazed animals and gathered firewood under customary rights going back centuries, were extinguished by parliamentary legislation that served the interests of large landowners at the expense of the rural poor.</w:t>
      </w:r>
    </w:p>
    <w:p w14:paraId="7B2F3C86" w14:textId="77777777" w:rsidR="00456256" w:rsidRDefault="00456256">
      <w:pPr>
        <w:spacing w:before="80"/>
      </w:pPr>
    </w:p>
    <w:p w14:paraId="5E31C7DB" w14:textId="77777777" w:rsidR="00456256" w:rsidRDefault="00850141">
      <w:pPr>
        <w:spacing w:before="140" w:after="140" w:line="330" w:lineRule="auto"/>
        <w:jc w:val="both"/>
      </w:pPr>
      <w:r>
        <w:t>The human cost was enormous. Thousands of agricultural workers were dispossessed and forced into the growing industrial cities. Oliver Goldsmith lamented it in 'The Deserted Village' (1770): '</w:t>
      </w:r>
      <w:proofErr w:type="spellStart"/>
      <w:r>
        <w:t>Ill</w:t>
      </w:r>
      <w:proofErr w:type="spellEnd"/>
      <w:r>
        <w:t xml:space="preserve"> fares the land, to hastening ills a prey / Where wealth accumulates, and men decay.' E.P. Thompson's 'The Making of the English Working </w:t>
      </w:r>
      <w:proofErr w:type="spellStart"/>
      <w:r>
        <w:t>Class'</w:t>
      </w:r>
      <w:proofErr w:type="spellEnd"/>
      <w:r>
        <w:t xml:space="preserve"> (1963) documented in meticulous detail how enclosure destroyed traditional communities and their customary economies. The hedge, in English historical consciousness, is not a neutral object — it is a symbol of the moment when what had been held in common was seized by the private.</w:t>
      </w:r>
    </w:p>
    <w:p w14:paraId="36CCFB0B" w14:textId="77777777" w:rsidR="00456256" w:rsidRDefault="00456256">
      <w:pPr>
        <w:spacing w:before="80"/>
      </w:pPr>
    </w:p>
    <w:p w14:paraId="70C7B0B5" w14:textId="77777777" w:rsidR="00456256" w:rsidRDefault="00850141">
      <w:pPr>
        <w:spacing w:before="140" w:after="140" w:line="330" w:lineRule="auto"/>
        <w:jc w:val="both"/>
      </w:pPr>
      <w:r>
        <w:t xml:space="preserve">The song extends this image into institutional terms. The hedged estate is not just agricultural land but the enclosed domain of decision-making: the zone where policy is formed, where appointments are made, where the circlets pass. 'No summons travels past the hedged </w:t>
      </w:r>
      <w:proofErr w:type="gramStart"/>
      <w:r>
        <w:t>estate' —</w:t>
      </w:r>
      <w:proofErr w:type="gramEnd"/>
      <w:r>
        <w:t xml:space="preserve"> the ordinary citizen receives no notice, no invitation, no representation in what happens on the other side of the hedge. Policy is made; consequences flow out. The causal connection between what happens inside and what happens outside is real but structurally obscured by the hedge itself.</w:t>
      </w:r>
    </w:p>
    <w:p w14:paraId="37D2F62F" w14:textId="77777777" w:rsidR="00456256" w:rsidRDefault="00456256">
      <w:pPr>
        <w:spacing w:before="80"/>
      </w:pPr>
    </w:p>
    <w:p w14:paraId="333B283D" w14:textId="77777777" w:rsidR="00456256" w:rsidRDefault="00456256">
      <w:pPr>
        <w:pBdr>
          <w:bottom w:val="single" w:sz="4" w:space="4" w:color="B0906A"/>
        </w:pBdr>
        <w:spacing w:before="240" w:after="240"/>
      </w:pPr>
    </w:p>
    <w:p w14:paraId="7F838AB7" w14:textId="77777777" w:rsidR="00456256" w:rsidRDefault="00456256">
      <w:pPr>
        <w:spacing w:before="160"/>
      </w:pPr>
    </w:p>
    <w:p w14:paraId="746D9785" w14:textId="77777777" w:rsidR="00456256" w:rsidRDefault="00850141">
      <w:pPr>
        <w:pStyle w:val="Heading1"/>
      </w:pPr>
      <w:r>
        <w:t>Part Eight: The Final Declaration — Name, See, Stand</w:t>
      </w:r>
    </w:p>
    <w:p w14:paraId="2B5AD210" w14:textId="77777777" w:rsidR="00456256" w:rsidRDefault="00456256">
      <w:pPr>
        <w:spacing w:before="60"/>
      </w:pPr>
    </w:p>
    <w:p w14:paraId="56397652" w14:textId="77777777" w:rsidR="00456256" w:rsidRDefault="00850141">
      <w:pPr>
        <w:spacing w:before="140" w:after="140" w:line="330" w:lineRule="auto"/>
        <w:jc w:val="both"/>
      </w:pPr>
      <w:r>
        <w:t>The closing spoken section strips every poetic elaboration from the song and speaks in unadorned declarative prose:</w:t>
      </w:r>
    </w:p>
    <w:p w14:paraId="757CFEB4" w14:textId="77777777" w:rsidR="00456256" w:rsidRDefault="00456256">
      <w:pPr>
        <w:spacing w:before="80"/>
      </w:pPr>
    </w:p>
    <w:p w14:paraId="57443434" w14:textId="77777777" w:rsidR="00456256" w:rsidRDefault="00850141">
      <w:pPr>
        <w:pBdr>
          <w:left w:val="single" w:sz="8" w:space="14" w:color="7A5C3A"/>
        </w:pBdr>
        <w:spacing w:before="100" w:after="100" w:line="280" w:lineRule="auto"/>
        <w:ind w:left="800" w:right="800"/>
      </w:pPr>
      <w:r>
        <w:rPr>
          <w:i/>
          <w:iCs/>
          <w:color w:val="4A3728"/>
          <w:sz w:val="22"/>
          <w:szCs w:val="22"/>
        </w:rPr>
        <w:t xml:space="preserve">For we do not </w:t>
      </w:r>
      <w:proofErr w:type="gramStart"/>
      <w:r>
        <w:rPr>
          <w:i/>
          <w:iCs/>
          <w:color w:val="4A3728"/>
          <w:sz w:val="22"/>
          <w:szCs w:val="22"/>
        </w:rPr>
        <w:t>battle</w:t>
      </w:r>
      <w:proofErr w:type="gramEnd"/>
      <w:r>
        <w:rPr>
          <w:i/>
          <w:iCs/>
          <w:color w:val="4A3728"/>
          <w:sz w:val="22"/>
          <w:szCs w:val="22"/>
        </w:rPr>
        <w:t xml:space="preserve"> flesh and blood. We battle the principalities. We battle the powers. We battle the rulers of darkness in high places. We battle spiritual wickedness in the seats of the mighty. Name them. See them. Stand.</w:t>
      </w:r>
    </w:p>
    <w:p w14:paraId="6E938F9F" w14:textId="77777777" w:rsidR="00456256" w:rsidRDefault="00456256">
      <w:pPr>
        <w:spacing w:before="80"/>
      </w:pPr>
    </w:p>
    <w:p w14:paraId="2DF9B3B5" w14:textId="77777777" w:rsidR="00456256" w:rsidRDefault="00850141">
      <w:pPr>
        <w:spacing w:before="140" w:after="140" w:line="330" w:lineRule="auto"/>
        <w:jc w:val="both"/>
      </w:pPr>
      <w:r>
        <w:t xml:space="preserve">The repetition of 'we battle' is liturgical in its rhythm. It has the quality of a responsive reading in a congregation — each repetition a confession of what is being faced. The list moves from abstract (principalities, powers) to specific (rulers of darkness in high places) to located (spiritual wickedness in the seats of the mighty). The 'seats of the mighty' </w:t>
      </w:r>
      <w:proofErr w:type="gramStart"/>
      <w:r>
        <w:t>places</w:t>
      </w:r>
      <w:proofErr w:type="gramEnd"/>
      <w:r>
        <w:t xml:space="preserve"> the adversary in specific physical locations: the seats of the powerful, the chairs of committees, the benches of courts, the desks of the executive — wherever consequential decisions are made for people who had no part in making them.</w:t>
      </w:r>
    </w:p>
    <w:p w14:paraId="5F7004CA" w14:textId="77777777" w:rsidR="00456256" w:rsidRDefault="00456256">
      <w:pPr>
        <w:spacing w:before="80"/>
      </w:pPr>
    </w:p>
    <w:p w14:paraId="677491A5" w14:textId="77777777" w:rsidR="00456256" w:rsidRDefault="00850141">
      <w:pPr>
        <w:spacing w:before="140" w:after="140" w:line="330" w:lineRule="auto"/>
        <w:jc w:val="both"/>
      </w:pPr>
      <w:r>
        <w:t xml:space="preserve">The final three imperatives are the song's only instructions, and they are deliberately modest: 'Name them. See them. Stand.' Not overthrow. Not </w:t>
      </w:r>
      <w:proofErr w:type="gramStart"/>
      <w:r>
        <w:t>destroy</w:t>
      </w:r>
      <w:proofErr w:type="gramEnd"/>
      <w:r>
        <w:t xml:space="preserve">. Not replace. The song proposes three prior acts without which any subsequent action is misdirected: naming accurately, seeing clearly, and standing firm in that </w:t>
      </w:r>
      <w:proofErr w:type="gramStart"/>
      <w:r>
        <w:t>seeing</w:t>
      </w:r>
      <w:proofErr w:type="gramEnd"/>
      <w:r>
        <w:t>. These correspond to the Pauline armor passage that follows Ephesians 6:</w:t>
      </w:r>
      <w:proofErr w:type="gramStart"/>
      <w:r>
        <w:t>12 — '</w:t>
      </w:r>
      <w:proofErr w:type="gramEnd"/>
      <w:r>
        <w:t>having done all, to stand' (verse 13). The warfare described is not primarily tactical or political in the conventional sense. It is epistemic and moral: the first victory is refusing the enchantment that makes the system appear inevitable.</w:t>
      </w:r>
    </w:p>
    <w:p w14:paraId="7E046617" w14:textId="77777777" w:rsidR="00456256" w:rsidRDefault="00456256">
      <w:pPr>
        <w:spacing w:before="80"/>
      </w:pPr>
    </w:p>
    <w:p w14:paraId="09CD89ED" w14:textId="77777777" w:rsidR="00456256" w:rsidRDefault="00850141">
      <w:pPr>
        <w:spacing w:before="140" w:after="140" w:line="330" w:lineRule="auto"/>
        <w:jc w:val="both"/>
      </w:pPr>
      <w:r>
        <w:t xml:space="preserve">'Name them' is a specific act. In the ancient Near Eastern tradition, to name something correctly was to exercise a form of power over it. When God brought the animals to Adam in Genesis to be named, the act of naming was the act of comprehension — to understand </w:t>
      </w:r>
      <w:r>
        <w:lastRenderedPageBreak/>
        <w:t>something's nature was to name it. To leave the principalities unnamed is to leave them operating in a kind of protective semantic darkness. The song insists on naming as the first act of resistance, which is why it has spent all its preceding verses anatomizing the forms that hidden power takes: so that when you encounter those forms, you have language for them.</w:t>
      </w:r>
    </w:p>
    <w:p w14:paraId="2D310F75" w14:textId="77777777" w:rsidR="00456256" w:rsidRDefault="00456256">
      <w:pPr>
        <w:spacing w:before="80"/>
      </w:pPr>
    </w:p>
    <w:p w14:paraId="4E2AC47C" w14:textId="77777777" w:rsidR="00456256" w:rsidRDefault="00850141">
      <w:pPr>
        <w:spacing w:before="140" w:after="140" w:line="330" w:lineRule="auto"/>
        <w:jc w:val="both"/>
      </w:pPr>
      <w:r>
        <w:t>'See them' follows from naming. To see through the ceremonial presentation — through the rhetoric of service, the language of democratic accountability, the theater of public process — to the structural reality beneath is the second act. The song has provided the visual vocabulary: the tabernacle, the veil, the altar block, the checkered floor, the chalice and the lock. These are images for recognizing a pattern when you encounter it in unfamiliar contexts.</w:t>
      </w:r>
    </w:p>
    <w:p w14:paraId="59C09FBD" w14:textId="77777777" w:rsidR="00456256" w:rsidRDefault="00456256">
      <w:pPr>
        <w:spacing w:before="80"/>
      </w:pPr>
    </w:p>
    <w:p w14:paraId="4DBCF591" w14:textId="77777777" w:rsidR="00456256" w:rsidRDefault="00850141">
      <w:pPr>
        <w:spacing w:before="140" w:after="140" w:line="330" w:lineRule="auto"/>
        <w:jc w:val="both"/>
      </w:pPr>
      <w:r>
        <w:t xml:space="preserve">'Stand' is the hardest of the three. It is the refusal to be deceived, the refusal to participate in the forgetting the song </w:t>
      </w:r>
      <w:proofErr w:type="gramStart"/>
      <w:r>
        <w:t>calls</w:t>
      </w:r>
      <w:proofErr w:type="gramEnd"/>
      <w:r>
        <w:t xml:space="preserve"> 'what the waking world unlearns.' It does not require dramatic action. It requires only the refusal to unsee what has been seen, to </w:t>
      </w:r>
      <w:proofErr w:type="spellStart"/>
      <w:r>
        <w:t>unname</w:t>
      </w:r>
      <w:proofErr w:type="spellEnd"/>
      <w:r>
        <w:t xml:space="preserve"> what has been named. The timber does not rend. But the voice that names the rite is older than the institution that performs it — and it is not silenced merely because the veil remains up.</w:t>
      </w:r>
    </w:p>
    <w:p w14:paraId="6525A8B2" w14:textId="77777777" w:rsidR="00456256" w:rsidRDefault="00456256">
      <w:pPr>
        <w:spacing w:before="80"/>
      </w:pPr>
    </w:p>
    <w:p w14:paraId="70C59984" w14:textId="77777777" w:rsidR="00456256" w:rsidRDefault="00456256">
      <w:pPr>
        <w:pBdr>
          <w:bottom w:val="single" w:sz="4" w:space="4" w:color="B0906A"/>
        </w:pBdr>
        <w:spacing w:before="240" w:after="240"/>
      </w:pPr>
    </w:p>
    <w:p w14:paraId="679F4986" w14:textId="77777777" w:rsidR="00456256" w:rsidRDefault="00456256">
      <w:pPr>
        <w:spacing w:before="160"/>
      </w:pPr>
    </w:p>
    <w:p w14:paraId="64D47B29" w14:textId="77777777" w:rsidR="00456256" w:rsidRDefault="00850141">
      <w:pPr>
        <w:pStyle w:val="Heading1"/>
      </w:pPr>
      <w:r>
        <w:t>Appendix: Image Reference Table</w:t>
      </w:r>
    </w:p>
    <w:p w14:paraId="4685B9CC" w14:textId="77777777" w:rsidR="00456256" w:rsidRDefault="00456256">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0"/>
        <w:gridCol w:w="1995"/>
        <w:gridCol w:w="2877"/>
        <w:gridCol w:w="2898"/>
      </w:tblGrid>
      <w:tr w:rsidR="00217752" w14:paraId="7D0543FF" w14:textId="77777777">
        <w:tblPrEx>
          <w:tblCellMar>
            <w:top w:w="0" w:type="dxa"/>
            <w:bottom w:w="0" w:type="dxa"/>
          </w:tblCellMar>
        </w:tblPrEx>
        <w:trPr>
          <w:tblHeader/>
        </w:trPr>
        <w:tc>
          <w:tcPr>
            <w:tcW w:w="0" w:type="auto"/>
            <w:shd w:val="clear" w:color="auto" w:fill="2E3A59"/>
            <w:tcMar>
              <w:top w:w="80" w:type="dxa"/>
              <w:left w:w="160" w:type="dxa"/>
              <w:bottom w:w="80" w:type="dxa"/>
              <w:right w:w="160" w:type="dxa"/>
            </w:tcMar>
          </w:tcPr>
          <w:p w14:paraId="1335A226" w14:textId="77777777" w:rsidR="00456256" w:rsidRDefault="00850141">
            <w:r>
              <w:rPr>
                <w:rFonts w:ascii="Arial" w:eastAsia="Arial" w:hAnsi="Arial" w:cs="Arial"/>
                <w:b/>
                <w:bCs/>
                <w:color w:val="FFFFFF"/>
                <w:sz w:val="19"/>
                <w:szCs w:val="19"/>
              </w:rPr>
              <w:t>Image in Song</w:t>
            </w:r>
          </w:p>
        </w:tc>
        <w:tc>
          <w:tcPr>
            <w:tcW w:w="0" w:type="auto"/>
            <w:shd w:val="clear" w:color="auto" w:fill="2E3A59"/>
            <w:tcMar>
              <w:top w:w="80" w:type="dxa"/>
              <w:left w:w="160" w:type="dxa"/>
              <w:bottom w:w="80" w:type="dxa"/>
              <w:right w:w="160" w:type="dxa"/>
            </w:tcMar>
          </w:tcPr>
          <w:p w14:paraId="0B9A59E2" w14:textId="77777777" w:rsidR="00456256" w:rsidRDefault="00850141">
            <w:r>
              <w:rPr>
                <w:rFonts w:ascii="Arial" w:eastAsia="Arial" w:hAnsi="Arial" w:cs="Arial"/>
                <w:b/>
                <w:bCs/>
                <w:color w:val="FFFFFF"/>
                <w:sz w:val="19"/>
                <w:szCs w:val="19"/>
              </w:rPr>
              <w:t>What It Literally Is</w:t>
            </w:r>
          </w:p>
        </w:tc>
        <w:tc>
          <w:tcPr>
            <w:tcW w:w="0" w:type="auto"/>
            <w:shd w:val="clear" w:color="auto" w:fill="2E3A59"/>
            <w:tcMar>
              <w:top w:w="80" w:type="dxa"/>
              <w:left w:w="160" w:type="dxa"/>
              <w:bottom w:w="80" w:type="dxa"/>
              <w:right w:w="160" w:type="dxa"/>
            </w:tcMar>
          </w:tcPr>
          <w:p w14:paraId="3B76F0EB" w14:textId="77777777" w:rsidR="00456256" w:rsidRDefault="00850141">
            <w:r>
              <w:rPr>
                <w:rFonts w:ascii="Arial" w:eastAsia="Arial" w:hAnsi="Arial" w:cs="Arial"/>
                <w:b/>
                <w:bCs/>
                <w:color w:val="FFFFFF"/>
                <w:sz w:val="19"/>
                <w:szCs w:val="19"/>
              </w:rPr>
              <w:t>Historical Source</w:t>
            </w:r>
          </w:p>
        </w:tc>
        <w:tc>
          <w:tcPr>
            <w:tcW w:w="0" w:type="auto"/>
            <w:shd w:val="clear" w:color="auto" w:fill="2E3A59"/>
            <w:tcMar>
              <w:top w:w="80" w:type="dxa"/>
              <w:left w:w="160" w:type="dxa"/>
              <w:bottom w:w="80" w:type="dxa"/>
              <w:right w:w="160" w:type="dxa"/>
            </w:tcMar>
          </w:tcPr>
          <w:p w14:paraId="5D053B97" w14:textId="77777777" w:rsidR="00456256" w:rsidRDefault="00850141">
            <w:r>
              <w:rPr>
                <w:rFonts w:ascii="Arial" w:eastAsia="Arial" w:hAnsi="Arial" w:cs="Arial"/>
                <w:b/>
                <w:bCs/>
                <w:color w:val="FFFFFF"/>
                <w:sz w:val="19"/>
                <w:szCs w:val="19"/>
              </w:rPr>
              <w:t>What the Song Argues</w:t>
            </w:r>
          </w:p>
        </w:tc>
      </w:tr>
      <w:tr w:rsidR="00217752" w14:paraId="1DFFD2E4"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26C29879" w14:textId="77777777" w:rsidR="00456256" w:rsidRDefault="00850141">
            <w:r>
              <w:rPr>
                <w:rFonts w:ascii="Arial" w:eastAsia="Arial" w:hAnsi="Arial" w:cs="Arial"/>
                <w:sz w:val="19"/>
                <w:szCs w:val="19"/>
              </w:rPr>
              <w:t>Tabernacle of kings</w:t>
            </w:r>
          </w:p>
        </w:tc>
        <w:tc>
          <w:tcPr>
            <w:tcW w:w="0" w:type="auto"/>
            <w:shd w:val="clear" w:color="auto" w:fill="FFFFFF"/>
            <w:tcMar>
              <w:top w:w="80" w:type="dxa"/>
              <w:left w:w="160" w:type="dxa"/>
              <w:bottom w:w="80" w:type="dxa"/>
              <w:right w:w="160" w:type="dxa"/>
            </w:tcMar>
          </w:tcPr>
          <w:p w14:paraId="12603273" w14:textId="77777777" w:rsidR="00456256" w:rsidRDefault="00850141">
            <w:r>
              <w:rPr>
                <w:rFonts w:ascii="Arial" w:eastAsia="Arial" w:hAnsi="Arial" w:cs="Arial"/>
                <w:sz w:val="19"/>
                <w:szCs w:val="19"/>
              </w:rPr>
              <w:t>Hebrew wilderness sanctuary</w:t>
            </w:r>
          </w:p>
        </w:tc>
        <w:tc>
          <w:tcPr>
            <w:tcW w:w="0" w:type="auto"/>
            <w:shd w:val="clear" w:color="auto" w:fill="FFFFFF"/>
            <w:tcMar>
              <w:top w:w="80" w:type="dxa"/>
              <w:left w:w="160" w:type="dxa"/>
              <w:bottom w:w="80" w:type="dxa"/>
              <w:right w:w="160" w:type="dxa"/>
            </w:tcMar>
          </w:tcPr>
          <w:p w14:paraId="0F7C2D1D" w14:textId="77777777" w:rsidR="00456256" w:rsidRDefault="00850141">
            <w:r>
              <w:rPr>
                <w:rFonts w:ascii="Arial" w:eastAsia="Arial" w:hAnsi="Arial" w:cs="Arial"/>
                <w:sz w:val="19"/>
                <w:szCs w:val="19"/>
              </w:rPr>
              <w:t>Exodus 25-40; tripartite sacred space</w:t>
            </w:r>
          </w:p>
        </w:tc>
        <w:tc>
          <w:tcPr>
            <w:tcW w:w="0" w:type="auto"/>
            <w:shd w:val="clear" w:color="auto" w:fill="FFFFFF"/>
            <w:tcMar>
              <w:top w:w="80" w:type="dxa"/>
              <w:left w:w="160" w:type="dxa"/>
              <w:bottom w:w="80" w:type="dxa"/>
              <w:right w:w="160" w:type="dxa"/>
            </w:tcMar>
          </w:tcPr>
          <w:p w14:paraId="29DB6204" w14:textId="77777777" w:rsidR="00456256" w:rsidRDefault="00850141">
            <w:r>
              <w:rPr>
                <w:rFonts w:ascii="Arial" w:eastAsia="Arial" w:hAnsi="Arial" w:cs="Arial"/>
                <w:sz w:val="19"/>
                <w:szCs w:val="19"/>
              </w:rPr>
              <w:t>Power has borrowed the architecture of the sacred to protect its operations</w:t>
            </w:r>
          </w:p>
        </w:tc>
      </w:tr>
      <w:tr w:rsidR="00217752" w14:paraId="0CCA898D"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5DE6879A" w14:textId="77777777" w:rsidR="00456256" w:rsidRDefault="00850141">
            <w:r>
              <w:rPr>
                <w:rFonts w:ascii="Arial" w:eastAsia="Arial" w:hAnsi="Arial" w:cs="Arial"/>
                <w:sz w:val="19"/>
                <w:szCs w:val="19"/>
              </w:rPr>
              <w:t xml:space="preserve">The veil / </w:t>
            </w:r>
            <w:proofErr w:type="spellStart"/>
            <w:r>
              <w:rPr>
                <w:rFonts w:ascii="Arial" w:eastAsia="Arial" w:hAnsi="Arial" w:cs="Arial"/>
                <w:sz w:val="19"/>
                <w:szCs w:val="19"/>
              </w:rPr>
              <w:t>paroketh</w:t>
            </w:r>
            <w:proofErr w:type="spellEnd"/>
          </w:p>
        </w:tc>
        <w:tc>
          <w:tcPr>
            <w:tcW w:w="0" w:type="auto"/>
            <w:shd w:val="clear" w:color="auto" w:fill="F5EFE6"/>
            <w:tcMar>
              <w:top w:w="80" w:type="dxa"/>
              <w:left w:w="160" w:type="dxa"/>
              <w:bottom w:w="80" w:type="dxa"/>
              <w:right w:w="160" w:type="dxa"/>
            </w:tcMar>
          </w:tcPr>
          <w:p w14:paraId="6FED048C" w14:textId="77777777" w:rsidR="00456256" w:rsidRDefault="00850141">
            <w:r>
              <w:rPr>
                <w:rFonts w:ascii="Arial" w:eastAsia="Arial" w:hAnsi="Arial" w:cs="Arial"/>
                <w:sz w:val="19"/>
                <w:szCs w:val="19"/>
              </w:rPr>
              <w:t>Curtain dividing holy of holies</w:t>
            </w:r>
          </w:p>
        </w:tc>
        <w:tc>
          <w:tcPr>
            <w:tcW w:w="0" w:type="auto"/>
            <w:shd w:val="clear" w:color="auto" w:fill="F5EFE6"/>
            <w:tcMar>
              <w:top w:w="80" w:type="dxa"/>
              <w:left w:w="160" w:type="dxa"/>
              <w:bottom w:w="80" w:type="dxa"/>
              <w:right w:w="160" w:type="dxa"/>
            </w:tcMar>
          </w:tcPr>
          <w:p w14:paraId="72D45462" w14:textId="77777777" w:rsidR="00456256" w:rsidRDefault="00850141">
            <w:r>
              <w:rPr>
                <w:rFonts w:ascii="Arial" w:eastAsia="Arial" w:hAnsi="Arial" w:cs="Arial"/>
                <w:sz w:val="19"/>
                <w:szCs w:val="19"/>
              </w:rPr>
              <w:t>Temple worship; Matthew 27:51 (torn at crucifixion)</w:t>
            </w:r>
          </w:p>
        </w:tc>
        <w:tc>
          <w:tcPr>
            <w:tcW w:w="0" w:type="auto"/>
            <w:shd w:val="clear" w:color="auto" w:fill="F5EFE6"/>
            <w:tcMar>
              <w:top w:w="80" w:type="dxa"/>
              <w:left w:w="160" w:type="dxa"/>
              <w:bottom w:w="80" w:type="dxa"/>
              <w:right w:w="160" w:type="dxa"/>
            </w:tcMar>
          </w:tcPr>
          <w:p w14:paraId="56B63899" w14:textId="77777777" w:rsidR="00456256" w:rsidRDefault="00850141">
            <w:r>
              <w:rPr>
                <w:rFonts w:ascii="Arial" w:eastAsia="Arial" w:hAnsi="Arial" w:cs="Arial"/>
                <w:sz w:val="19"/>
                <w:szCs w:val="19"/>
              </w:rPr>
              <w:t xml:space="preserve">The veil that should have </w:t>
            </w:r>
            <w:proofErr w:type="gramStart"/>
            <w:r>
              <w:rPr>
                <w:rFonts w:ascii="Arial" w:eastAsia="Arial" w:hAnsi="Arial" w:cs="Arial"/>
                <w:sz w:val="19"/>
                <w:szCs w:val="19"/>
              </w:rPr>
              <w:t>torn</w:t>
            </w:r>
            <w:proofErr w:type="gramEnd"/>
            <w:r>
              <w:rPr>
                <w:rFonts w:ascii="Arial" w:eastAsia="Arial" w:hAnsi="Arial" w:cs="Arial"/>
                <w:sz w:val="19"/>
                <w:szCs w:val="19"/>
              </w:rPr>
              <w:t xml:space="preserve"> has been restored; access is again controlled</w:t>
            </w:r>
          </w:p>
        </w:tc>
      </w:tr>
      <w:tr w:rsidR="00217752" w14:paraId="453C77E3"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2D71A87E" w14:textId="77777777" w:rsidR="00456256" w:rsidRDefault="00850141">
            <w:r>
              <w:rPr>
                <w:rFonts w:ascii="Arial" w:eastAsia="Arial" w:hAnsi="Arial" w:cs="Arial"/>
                <w:sz w:val="19"/>
                <w:szCs w:val="19"/>
              </w:rPr>
              <w:lastRenderedPageBreak/>
              <w:t>Oil and consecrated dust</w:t>
            </w:r>
          </w:p>
        </w:tc>
        <w:tc>
          <w:tcPr>
            <w:tcW w:w="0" w:type="auto"/>
            <w:shd w:val="clear" w:color="auto" w:fill="FFFFFF"/>
            <w:tcMar>
              <w:top w:w="80" w:type="dxa"/>
              <w:left w:w="160" w:type="dxa"/>
              <w:bottom w:w="80" w:type="dxa"/>
              <w:right w:w="160" w:type="dxa"/>
            </w:tcMar>
          </w:tcPr>
          <w:p w14:paraId="7C59A57D" w14:textId="77777777" w:rsidR="00456256" w:rsidRDefault="00850141">
            <w:r>
              <w:rPr>
                <w:rFonts w:ascii="Arial" w:eastAsia="Arial" w:hAnsi="Arial" w:cs="Arial"/>
                <w:sz w:val="19"/>
                <w:szCs w:val="19"/>
              </w:rPr>
              <w:t>Anointing oil; mortality</w:t>
            </w:r>
          </w:p>
        </w:tc>
        <w:tc>
          <w:tcPr>
            <w:tcW w:w="0" w:type="auto"/>
            <w:shd w:val="clear" w:color="auto" w:fill="FFFFFF"/>
            <w:tcMar>
              <w:top w:w="80" w:type="dxa"/>
              <w:left w:w="160" w:type="dxa"/>
              <w:bottom w:w="80" w:type="dxa"/>
              <w:right w:w="160" w:type="dxa"/>
            </w:tcMar>
          </w:tcPr>
          <w:p w14:paraId="162EA3B3" w14:textId="77777777" w:rsidR="00456256" w:rsidRDefault="00850141">
            <w:r>
              <w:rPr>
                <w:rFonts w:ascii="Arial" w:eastAsia="Arial" w:hAnsi="Arial" w:cs="Arial"/>
                <w:sz w:val="19"/>
                <w:szCs w:val="19"/>
              </w:rPr>
              <w:t>Mashiach anointing; Genesis 3:19</w:t>
            </w:r>
          </w:p>
        </w:tc>
        <w:tc>
          <w:tcPr>
            <w:tcW w:w="0" w:type="auto"/>
            <w:shd w:val="clear" w:color="auto" w:fill="FFFFFF"/>
            <w:tcMar>
              <w:top w:w="80" w:type="dxa"/>
              <w:left w:w="160" w:type="dxa"/>
              <w:bottom w:w="80" w:type="dxa"/>
              <w:right w:w="160" w:type="dxa"/>
            </w:tcMar>
          </w:tcPr>
          <w:p w14:paraId="164AC41A" w14:textId="77777777" w:rsidR="00456256" w:rsidRDefault="00850141">
            <w:r>
              <w:rPr>
                <w:rFonts w:ascii="Arial" w:eastAsia="Arial" w:hAnsi="Arial" w:cs="Arial"/>
                <w:sz w:val="19"/>
                <w:szCs w:val="19"/>
              </w:rPr>
              <w:t>The institution claims divine designation while incorporating the deaths of its members into its legitimacy</w:t>
            </w:r>
          </w:p>
        </w:tc>
      </w:tr>
      <w:tr w:rsidR="00217752" w14:paraId="3C3076EF"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54DEFA89" w14:textId="77777777" w:rsidR="00456256" w:rsidRDefault="00850141">
            <w:r>
              <w:rPr>
                <w:rFonts w:ascii="Arial" w:eastAsia="Arial" w:hAnsi="Arial" w:cs="Arial"/>
                <w:sz w:val="19"/>
                <w:szCs w:val="19"/>
              </w:rPr>
              <w:t>High table</w:t>
            </w:r>
          </w:p>
        </w:tc>
        <w:tc>
          <w:tcPr>
            <w:tcW w:w="0" w:type="auto"/>
            <w:shd w:val="clear" w:color="auto" w:fill="F5EFE6"/>
            <w:tcMar>
              <w:top w:w="80" w:type="dxa"/>
              <w:left w:w="160" w:type="dxa"/>
              <w:bottom w:w="80" w:type="dxa"/>
              <w:right w:w="160" w:type="dxa"/>
            </w:tcMar>
          </w:tcPr>
          <w:p w14:paraId="093E48F7" w14:textId="77777777" w:rsidR="00456256" w:rsidRDefault="00850141">
            <w:r>
              <w:rPr>
                <w:rFonts w:ascii="Arial" w:eastAsia="Arial" w:hAnsi="Arial" w:cs="Arial"/>
                <w:sz w:val="19"/>
                <w:szCs w:val="19"/>
              </w:rPr>
              <w:t>Dais table in medieval great hall</w:t>
            </w:r>
          </w:p>
        </w:tc>
        <w:tc>
          <w:tcPr>
            <w:tcW w:w="0" w:type="auto"/>
            <w:shd w:val="clear" w:color="auto" w:fill="F5EFE6"/>
            <w:tcMar>
              <w:top w:w="80" w:type="dxa"/>
              <w:left w:w="160" w:type="dxa"/>
              <w:bottom w:w="80" w:type="dxa"/>
              <w:right w:w="160" w:type="dxa"/>
            </w:tcMar>
          </w:tcPr>
          <w:p w14:paraId="3581F47D" w14:textId="77777777" w:rsidR="00456256" w:rsidRDefault="00850141">
            <w:r>
              <w:rPr>
                <w:rFonts w:ascii="Arial" w:eastAsia="Arial" w:hAnsi="Arial" w:cs="Arial"/>
                <w:sz w:val="19"/>
                <w:szCs w:val="19"/>
              </w:rPr>
              <w:t>English feudal hall culture; Oxford/Cambridge tradition</w:t>
            </w:r>
          </w:p>
        </w:tc>
        <w:tc>
          <w:tcPr>
            <w:tcW w:w="0" w:type="auto"/>
            <w:shd w:val="clear" w:color="auto" w:fill="F5EFE6"/>
            <w:tcMar>
              <w:top w:w="80" w:type="dxa"/>
              <w:left w:w="160" w:type="dxa"/>
              <w:bottom w:w="80" w:type="dxa"/>
              <w:right w:w="160" w:type="dxa"/>
            </w:tcMar>
          </w:tcPr>
          <w:p w14:paraId="558D2132" w14:textId="77777777" w:rsidR="00456256" w:rsidRDefault="00850141">
            <w:r>
              <w:rPr>
                <w:rFonts w:ascii="Arial" w:eastAsia="Arial" w:hAnsi="Arial" w:cs="Arial"/>
                <w:sz w:val="19"/>
                <w:szCs w:val="19"/>
              </w:rPr>
              <w:t>Political fellowship is a performance of hierarchy, not equality</w:t>
            </w:r>
          </w:p>
        </w:tc>
      </w:tr>
      <w:tr w:rsidR="00217752" w14:paraId="4A3A5C69"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756FF938" w14:textId="77777777" w:rsidR="00456256" w:rsidRDefault="00850141">
            <w:r>
              <w:rPr>
                <w:rFonts w:ascii="Arial" w:eastAsia="Arial" w:hAnsi="Arial" w:cs="Arial"/>
                <w:sz w:val="19"/>
                <w:szCs w:val="19"/>
              </w:rPr>
              <w:t>Altar block</w:t>
            </w:r>
          </w:p>
        </w:tc>
        <w:tc>
          <w:tcPr>
            <w:tcW w:w="0" w:type="auto"/>
            <w:shd w:val="clear" w:color="auto" w:fill="FFFFFF"/>
            <w:tcMar>
              <w:top w:w="80" w:type="dxa"/>
              <w:left w:w="160" w:type="dxa"/>
              <w:bottom w:w="80" w:type="dxa"/>
              <w:right w:w="160" w:type="dxa"/>
            </w:tcMar>
          </w:tcPr>
          <w:p w14:paraId="63B8C8C3" w14:textId="77777777" w:rsidR="00456256" w:rsidRDefault="00850141">
            <w:r>
              <w:rPr>
                <w:rFonts w:ascii="Arial" w:eastAsia="Arial" w:hAnsi="Arial" w:cs="Arial"/>
                <w:sz w:val="19"/>
                <w:szCs w:val="19"/>
              </w:rPr>
              <w:t>Stone surface for animal sacrifice</w:t>
            </w:r>
          </w:p>
        </w:tc>
        <w:tc>
          <w:tcPr>
            <w:tcW w:w="0" w:type="auto"/>
            <w:shd w:val="clear" w:color="auto" w:fill="FFFFFF"/>
            <w:tcMar>
              <w:top w:w="80" w:type="dxa"/>
              <w:left w:w="160" w:type="dxa"/>
              <w:bottom w:w="80" w:type="dxa"/>
              <w:right w:w="160" w:type="dxa"/>
            </w:tcMar>
          </w:tcPr>
          <w:p w14:paraId="42FABE93" w14:textId="77777777" w:rsidR="00456256" w:rsidRDefault="00850141">
            <w:r>
              <w:rPr>
                <w:rFonts w:ascii="Arial" w:eastAsia="Arial" w:hAnsi="Arial" w:cs="Arial"/>
                <w:sz w:val="19"/>
                <w:szCs w:val="19"/>
              </w:rPr>
              <w:t>Levitical worship; Ancient Near East</w:t>
            </w:r>
          </w:p>
        </w:tc>
        <w:tc>
          <w:tcPr>
            <w:tcW w:w="0" w:type="auto"/>
            <w:shd w:val="clear" w:color="auto" w:fill="FFFFFF"/>
            <w:tcMar>
              <w:top w:w="80" w:type="dxa"/>
              <w:left w:w="160" w:type="dxa"/>
              <w:bottom w:w="80" w:type="dxa"/>
              <w:right w:w="160" w:type="dxa"/>
            </w:tcMar>
          </w:tcPr>
          <w:p w14:paraId="286DF029" w14:textId="77777777" w:rsidR="00456256" w:rsidRDefault="00850141">
            <w:r>
              <w:rPr>
                <w:rFonts w:ascii="Arial" w:eastAsia="Arial" w:hAnsi="Arial" w:cs="Arial"/>
                <w:sz w:val="19"/>
                <w:szCs w:val="19"/>
              </w:rPr>
              <w:t>The feast and the sacrifice are the same event</w:t>
            </w:r>
          </w:p>
        </w:tc>
      </w:tr>
      <w:tr w:rsidR="00217752" w14:paraId="33AD7B04"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37D51B8B" w14:textId="77777777" w:rsidR="00456256" w:rsidRDefault="00850141">
            <w:r>
              <w:rPr>
                <w:rFonts w:ascii="Arial" w:eastAsia="Arial" w:hAnsi="Arial" w:cs="Arial"/>
                <w:sz w:val="19"/>
                <w:szCs w:val="19"/>
              </w:rPr>
              <w:t>No trumpet</w:t>
            </w:r>
          </w:p>
        </w:tc>
        <w:tc>
          <w:tcPr>
            <w:tcW w:w="0" w:type="auto"/>
            <w:shd w:val="clear" w:color="auto" w:fill="F5EFE6"/>
            <w:tcMar>
              <w:top w:w="80" w:type="dxa"/>
              <w:left w:w="160" w:type="dxa"/>
              <w:bottom w:w="80" w:type="dxa"/>
              <w:right w:w="160" w:type="dxa"/>
            </w:tcMar>
          </w:tcPr>
          <w:p w14:paraId="058E77F2" w14:textId="77777777" w:rsidR="00456256" w:rsidRDefault="00850141">
            <w:r>
              <w:rPr>
                <w:rFonts w:ascii="Arial" w:eastAsia="Arial" w:hAnsi="Arial" w:cs="Arial"/>
                <w:sz w:val="19"/>
                <w:szCs w:val="19"/>
              </w:rPr>
              <w:t>Absence of public announcement</w:t>
            </w:r>
          </w:p>
        </w:tc>
        <w:tc>
          <w:tcPr>
            <w:tcW w:w="0" w:type="auto"/>
            <w:shd w:val="clear" w:color="auto" w:fill="F5EFE6"/>
            <w:tcMar>
              <w:top w:w="80" w:type="dxa"/>
              <w:left w:w="160" w:type="dxa"/>
              <w:bottom w:w="80" w:type="dxa"/>
              <w:right w:w="160" w:type="dxa"/>
            </w:tcMar>
          </w:tcPr>
          <w:p w14:paraId="459C273A" w14:textId="77777777" w:rsidR="00456256" w:rsidRDefault="00850141">
            <w:r>
              <w:rPr>
                <w:rFonts w:ascii="Arial" w:eastAsia="Arial" w:hAnsi="Arial" w:cs="Arial"/>
                <w:sz w:val="19"/>
                <w:szCs w:val="19"/>
              </w:rPr>
              <w:t>Shofar and silver trumpets of Numbers 10</w:t>
            </w:r>
          </w:p>
        </w:tc>
        <w:tc>
          <w:tcPr>
            <w:tcW w:w="0" w:type="auto"/>
            <w:shd w:val="clear" w:color="auto" w:fill="F5EFE6"/>
            <w:tcMar>
              <w:top w:w="80" w:type="dxa"/>
              <w:left w:w="160" w:type="dxa"/>
              <w:bottom w:w="80" w:type="dxa"/>
              <w:right w:w="160" w:type="dxa"/>
            </w:tcMar>
          </w:tcPr>
          <w:p w14:paraId="1299AB46" w14:textId="77777777" w:rsidR="00456256" w:rsidRDefault="00850141">
            <w:r>
              <w:rPr>
                <w:rFonts w:ascii="Arial" w:eastAsia="Arial" w:hAnsi="Arial" w:cs="Arial"/>
                <w:sz w:val="19"/>
                <w:szCs w:val="19"/>
              </w:rPr>
              <w:t>Public liturgical signals have been suppressed; the rite happens without community knowledge</w:t>
            </w:r>
          </w:p>
        </w:tc>
      </w:tr>
      <w:tr w:rsidR="00217752" w14:paraId="5600D7BC"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0699A958" w14:textId="77777777" w:rsidR="00456256" w:rsidRDefault="00850141">
            <w:r>
              <w:rPr>
                <w:rFonts w:ascii="Arial" w:eastAsia="Arial" w:hAnsi="Arial" w:cs="Arial"/>
                <w:sz w:val="19"/>
                <w:szCs w:val="19"/>
              </w:rPr>
              <w:t>Chalice and lock</w:t>
            </w:r>
          </w:p>
        </w:tc>
        <w:tc>
          <w:tcPr>
            <w:tcW w:w="0" w:type="auto"/>
            <w:shd w:val="clear" w:color="auto" w:fill="FFFFFF"/>
            <w:tcMar>
              <w:top w:w="80" w:type="dxa"/>
              <w:left w:w="160" w:type="dxa"/>
              <w:bottom w:w="80" w:type="dxa"/>
              <w:right w:w="160" w:type="dxa"/>
            </w:tcMar>
          </w:tcPr>
          <w:p w14:paraId="5002545C" w14:textId="77777777" w:rsidR="00456256" w:rsidRDefault="00850141">
            <w:r>
              <w:rPr>
                <w:rFonts w:ascii="Arial" w:eastAsia="Arial" w:hAnsi="Arial" w:cs="Arial"/>
                <w:sz w:val="19"/>
                <w:szCs w:val="19"/>
              </w:rPr>
              <w:t>Communion cup; sealing instrument</w:t>
            </w:r>
          </w:p>
        </w:tc>
        <w:tc>
          <w:tcPr>
            <w:tcW w:w="0" w:type="auto"/>
            <w:shd w:val="clear" w:color="auto" w:fill="FFFFFF"/>
            <w:tcMar>
              <w:top w:w="80" w:type="dxa"/>
              <w:left w:w="160" w:type="dxa"/>
              <w:bottom w:w="80" w:type="dxa"/>
              <w:right w:w="160" w:type="dxa"/>
            </w:tcMar>
          </w:tcPr>
          <w:p w14:paraId="046B1A87" w14:textId="77777777" w:rsidR="00456256" w:rsidRDefault="00850141">
            <w:r>
              <w:rPr>
                <w:rFonts w:ascii="Arial" w:eastAsia="Arial" w:hAnsi="Arial" w:cs="Arial"/>
                <w:sz w:val="19"/>
                <w:szCs w:val="19"/>
              </w:rPr>
              <w:t>Eucharistic theology; blood oath traditions</w:t>
            </w:r>
          </w:p>
        </w:tc>
        <w:tc>
          <w:tcPr>
            <w:tcW w:w="0" w:type="auto"/>
            <w:shd w:val="clear" w:color="auto" w:fill="FFFFFF"/>
            <w:tcMar>
              <w:top w:w="80" w:type="dxa"/>
              <w:left w:w="160" w:type="dxa"/>
              <w:bottom w:w="80" w:type="dxa"/>
              <w:right w:w="160" w:type="dxa"/>
            </w:tcMar>
          </w:tcPr>
          <w:p w14:paraId="1BE55D00" w14:textId="77777777" w:rsidR="00456256" w:rsidRDefault="00850141">
            <w:r>
              <w:rPr>
                <w:rFonts w:ascii="Arial" w:eastAsia="Arial" w:hAnsi="Arial" w:cs="Arial"/>
                <w:sz w:val="19"/>
                <w:szCs w:val="19"/>
              </w:rPr>
              <w:t>To drink together is to be bound together in secrecy, not in public declaration</w:t>
            </w:r>
          </w:p>
        </w:tc>
      </w:tr>
      <w:tr w:rsidR="00217752" w14:paraId="1D8915AA"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727D1570" w14:textId="77777777" w:rsidR="00456256" w:rsidRDefault="00850141">
            <w:r>
              <w:rPr>
                <w:rFonts w:ascii="Arial" w:eastAsia="Arial" w:hAnsi="Arial" w:cs="Arial"/>
                <w:sz w:val="19"/>
                <w:szCs w:val="19"/>
              </w:rPr>
              <w:t>Communion in both kinds</w:t>
            </w:r>
          </w:p>
        </w:tc>
        <w:tc>
          <w:tcPr>
            <w:tcW w:w="0" w:type="auto"/>
            <w:shd w:val="clear" w:color="auto" w:fill="F5EFE6"/>
            <w:tcMar>
              <w:top w:w="80" w:type="dxa"/>
              <w:left w:w="160" w:type="dxa"/>
              <w:bottom w:w="80" w:type="dxa"/>
              <w:right w:w="160" w:type="dxa"/>
            </w:tcMar>
          </w:tcPr>
          <w:p w14:paraId="43AC4CAB" w14:textId="77777777" w:rsidR="00456256" w:rsidRDefault="00850141">
            <w:r>
              <w:rPr>
                <w:rFonts w:ascii="Arial" w:eastAsia="Arial" w:hAnsi="Arial" w:cs="Arial"/>
                <w:sz w:val="19"/>
                <w:szCs w:val="19"/>
              </w:rPr>
              <w:t>Bread and wine together</w:t>
            </w:r>
          </w:p>
        </w:tc>
        <w:tc>
          <w:tcPr>
            <w:tcW w:w="0" w:type="auto"/>
            <w:shd w:val="clear" w:color="auto" w:fill="F5EFE6"/>
            <w:tcMar>
              <w:top w:w="80" w:type="dxa"/>
              <w:left w:w="160" w:type="dxa"/>
              <w:bottom w:w="80" w:type="dxa"/>
              <w:right w:w="160" w:type="dxa"/>
            </w:tcMar>
          </w:tcPr>
          <w:p w14:paraId="44061403" w14:textId="77777777" w:rsidR="00456256" w:rsidRDefault="00850141">
            <w:r>
              <w:rPr>
                <w:rFonts w:ascii="Arial" w:eastAsia="Arial" w:hAnsi="Arial" w:cs="Arial"/>
                <w:sz w:val="19"/>
                <w:szCs w:val="19"/>
              </w:rPr>
              <w:t>Medieval restriction; Hussite controversy</w:t>
            </w:r>
          </w:p>
        </w:tc>
        <w:tc>
          <w:tcPr>
            <w:tcW w:w="0" w:type="auto"/>
            <w:shd w:val="clear" w:color="auto" w:fill="F5EFE6"/>
            <w:tcMar>
              <w:top w:w="80" w:type="dxa"/>
              <w:left w:w="160" w:type="dxa"/>
              <w:bottom w:w="80" w:type="dxa"/>
              <w:right w:w="160" w:type="dxa"/>
            </w:tcMar>
          </w:tcPr>
          <w:p w14:paraId="383A9367" w14:textId="77777777" w:rsidR="00456256" w:rsidRDefault="00850141">
            <w:r>
              <w:rPr>
                <w:rFonts w:ascii="Arial" w:eastAsia="Arial" w:hAnsi="Arial" w:cs="Arial"/>
                <w:sz w:val="19"/>
                <w:szCs w:val="19"/>
              </w:rPr>
              <w:t>Full initiation confers full binding; partial access confers partial obligation</w:t>
            </w:r>
          </w:p>
        </w:tc>
      </w:tr>
      <w:tr w:rsidR="00217752" w14:paraId="37C0EC0D"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3775B422" w14:textId="77777777" w:rsidR="00456256" w:rsidRDefault="00850141">
            <w:r>
              <w:rPr>
                <w:rFonts w:ascii="Arial" w:eastAsia="Arial" w:hAnsi="Arial" w:cs="Arial"/>
                <w:sz w:val="19"/>
                <w:szCs w:val="19"/>
              </w:rPr>
              <w:t>Skull beside bone</w:t>
            </w:r>
          </w:p>
        </w:tc>
        <w:tc>
          <w:tcPr>
            <w:tcW w:w="0" w:type="auto"/>
            <w:shd w:val="clear" w:color="auto" w:fill="FFFFFF"/>
            <w:tcMar>
              <w:top w:w="80" w:type="dxa"/>
              <w:left w:w="160" w:type="dxa"/>
              <w:bottom w:w="80" w:type="dxa"/>
              <w:right w:w="160" w:type="dxa"/>
            </w:tcMar>
          </w:tcPr>
          <w:p w14:paraId="398C56F1" w14:textId="77777777" w:rsidR="00456256" w:rsidRDefault="00850141">
            <w:r>
              <w:rPr>
                <w:rFonts w:ascii="Arial" w:eastAsia="Arial" w:hAnsi="Arial" w:cs="Arial"/>
                <w:sz w:val="19"/>
                <w:szCs w:val="19"/>
              </w:rPr>
              <w:t>Memento mori; death imagery</w:t>
            </w:r>
          </w:p>
        </w:tc>
        <w:tc>
          <w:tcPr>
            <w:tcW w:w="0" w:type="auto"/>
            <w:shd w:val="clear" w:color="auto" w:fill="FFFFFF"/>
            <w:tcMar>
              <w:top w:w="80" w:type="dxa"/>
              <w:left w:w="160" w:type="dxa"/>
              <w:bottom w:w="80" w:type="dxa"/>
              <w:right w:w="160" w:type="dxa"/>
            </w:tcMar>
          </w:tcPr>
          <w:p w14:paraId="57F0262E" w14:textId="77777777" w:rsidR="00456256" w:rsidRDefault="00850141">
            <w:r>
              <w:rPr>
                <w:rFonts w:ascii="Arial" w:eastAsia="Arial" w:hAnsi="Arial" w:cs="Arial"/>
                <w:sz w:val="19"/>
                <w:szCs w:val="19"/>
              </w:rPr>
              <w:t>Masonic lodge practice; Skull and Bones at Yale (1832)</w:t>
            </w:r>
          </w:p>
        </w:tc>
        <w:tc>
          <w:tcPr>
            <w:tcW w:w="0" w:type="auto"/>
            <w:shd w:val="clear" w:color="auto" w:fill="FFFFFF"/>
            <w:tcMar>
              <w:top w:w="80" w:type="dxa"/>
              <w:left w:w="160" w:type="dxa"/>
              <w:bottom w:w="80" w:type="dxa"/>
              <w:right w:w="160" w:type="dxa"/>
            </w:tcMar>
          </w:tcPr>
          <w:p w14:paraId="32F58941" w14:textId="77777777" w:rsidR="00456256" w:rsidRDefault="00850141">
            <w:r>
              <w:rPr>
                <w:rFonts w:ascii="Arial" w:eastAsia="Arial" w:hAnsi="Arial" w:cs="Arial"/>
                <w:sz w:val="19"/>
                <w:szCs w:val="19"/>
              </w:rPr>
              <w:t>Mortality is ritualized to strengthen the oath; the dead give authority to the living institution</w:t>
            </w:r>
          </w:p>
        </w:tc>
      </w:tr>
      <w:tr w:rsidR="00217752" w14:paraId="666F3CCC"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4B7CCD64" w14:textId="77777777" w:rsidR="00456256" w:rsidRDefault="00850141">
            <w:r>
              <w:rPr>
                <w:rFonts w:ascii="Arial" w:eastAsia="Arial" w:hAnsi="Arial" w:cs="Arial"/>
                <w:sz w:val="19"/>
                <w:szCs w:val="19"/>
              </w:rPr>
              <w:t>Quiet symmetry</w:t>
            </w:r>
          </w:p>
        </w:tc>
        <w:tc>
          <w:tcPr>
            <w:tcW w:w="0" w:type="auto"/>
            <w:shd w:val="clear" w:color="auto" w:fill="F5EFE6"/>
            <w:tcMar>
              <w:top w:w="80" w:type="dxa"/>
              <w:left w:w="160" w:type="dxa"/>
              <w:bottom w:w="80" w:type="dxa"/>
              <w:right w:w="160" w:type="dxa"/>
            </w:tcMar>
          </w:tcPr>
          <w:p w14:paraId="0DE05970" w14:textId="77777777" w:rsidR="00456256" w:rsidRDefault="00850141">
            <w:r>
              <w:rPr>
                <w:rFonts w:ascii="Arial" w:eastAsia="Arial" w:hAnsi="Arial" w:cs="Arial"/>
                <w:sz w:val="19"/>
                <w:szCs w:val="19"/>
              </w:rPr>
              <w:t>Geometric ritual precision</w:t>
            </w:r>
          </w:p>
        </w:tc>
        <w:tc>
          <w:tcPr>
            <w:tcW w:w="0" w:type="auto"/>
            <w:shd w:val="clear" w:color="auto" w:fill="F5EFE6"/>
            <w:tcMar>
              <w:top w:w="80" w:type="dxa"/>
              <w:left w:w="160" w:type="dxa"/>
              <w:bottom w:w="80" w:type="dxa"/>
              <w:right w:w="160" w:type="dxa"/>
            </w:tcMar>
          </w:tcPr>
          <w:p w14:paraId="72D3C493" w14:textId="77777777" w:rsidR="00456256" w:rsidRDefault="00850141">
            <w:r>
              <w:rPr>
                <w:rFonts w:ascii="Arial" w:eastAsia="Arial" w:hAnsi="Arial" w:cs="Arial"/>
                <w:sz w:val="19"/>
                <w:szCs w:val="19"/>
              </w:rPr>
              <w:t>Freemasonic checkered floor; prescribed lodge movement</w:t>
            </w:r>
          </w:p>
        </w:tc>
        <w:tc>
          <w:tcPr>
            <w:tcW w:w="0" w:type="auto"/>
            <w:shd w:val="clear" w:color="auto" w:fill="F5EFE6"/>
            <w:tcMar>
              <w:top w:w="80" w:type="dxa"/>
              <w:left w:w="160" w:type="dxa"/>
              <w:bottom w:w="80" w:type="dxa"/>
              <w:right w:w="160" w:type="dxa"/>
            </w:tcMar>
          </w:tcPr>
          <w:p w14:paraId="41291FA8" w14:textId="77777777" w:rsidR="00456256" w:rsidRDefault="00850141">
            <w:r>
              <w:rPr>
                <w:rFonts w:ascii="Arial" w:eastAsia="Arial" w:hAnsi="Arial" w:cs="Arial"/>
                <w:sz w:val="19"/>
                <w:szCs w:val="19"/>
              </w:rPr>
              <w:t>Order is theology; the precision of the rite is its authority</w:t>
            </w:r>
          </w:p>
        </w:tc>
      </w:tr>
      <w:tr w:rsidR="00217752" w14:paraId="4182FD03"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43483F19" w14:textId="77777777" w:rsidR="00456256" w:rsidRDefault="00850141">
            <w:r>
              <w:rPr>
                <w:rFonts w:ascii="Arial" w:eastAsia="Arial" w:hAnsi="Arial" w:cs="Arial"/>
                <w:sz w:val="19"/>
                <w:szCs w:val="19"/>
              </w:rPr>
              <w:t>Breath-hollowed chambers</w:t>
            </w:r>
          </w:p>
        </w:tc>
        <w:tc>
          <w:tcPr>
            <w:tcW w:w="0" w:type="auto"/>
            <w:shd w:val="clear" w:color="auto" w:fill="FFFFFF"/>
            <w:tcMar>
              <w:top w:w="80" w:type="dxa"/>
              <w:left w:w="160" w:type="dxa"/>
              <w:bottom w:w="80" w:type="dxa"/>
              <w:right w:w="160" w:type="dxa"/>
            </w:tcMar>
          </w:tcPr>
          <w:p w14:paraId="45A975C7" w14:textId="77777777" w:rsidR="00456256" w:rsidRDefault="00850141">
            <w:r>
              <w:rPr>
                <w:rFonts w:ascii="Arial" w:eastAsia="Arial" w:hAnsi="Arial" w:cs="Arial"/>
                <w:sz w:val="19"/>
                <w:szCs w:val="19"/>
              </w:rPr>
              <w:t>Skull; ritual grave; lodge room</w:t>
            </w:r>
          </w:p>
        </w:tc>
        <w:tc>
          <w:tcPr>
            <w:tcW w:w="0" w:type="auto"/>
            <w:shd w:val="clear" w:color="auto" w:fill="FFFFFF"/>
            <w:tcMar>
              <w:top w:w="80" w:type="dxa"/>
              <w:left w:w="160" w:type="dxa"/>
              <w:bottom w:w="80" w:type="dxa"/>
              <w:right w:w="160" w:type="dxa"/>
            </w:tcMar>
          </w:tcPr>
          <w:p w14:paraId="11182904" w14:textId="77777777" w:rsidR="00456256" w:rsidRDefault="00850141">
            <w:r>
              <w:rPr>
                <w:rFonts w:ascii="Arial" w:eastAsia="Arial" w:hAnsi="Arial" w:cs="Arial"/>
                <w:sz w:val="19"/>
                <w:szCs w:val="19"/>
              </w:rPr>
              <w:t>Master Mason third-degree death and raising</w:t>
            </w:r>
          </w:p>
        </w:tc>
        <w:tc>
          <w:tcPr>
            <w:tcW w:w="0" w:type="auto"/>
            <w:shd w:val="clear" w:color="auto" w:fill="FFFFFF"/>
            <w:tcMar>
              <w:top w:w="80" w:type="dxa"/>
              <w:left w:w="160" w:type="dxa"/>
              <w:bottom w:w="80" w:type="dxa"/>
              <w:right w:w="160" w:type="dxa"/>
            </w:tcMar>
          </w:tcPr>
          <w:p w14:paraId="66EA2A22" w14:textId="77777777" w:rsidR="00456256" w:rsidRDefault="00850141">
            <w:r>
              <w:rPr>
                <w:rFonts w:ascii="Arial" w:eastAsia="Arial" w:hAnsi="Arial" w:cs="Arial"/>
                <w:sz w:val="19"/>
                <w:szCs w:val="19"/>
              </w:rPr>
              <w:t>The initiatory chamber produces real-world political consequence</w:t>
            </w:r>
          </w:p>
        </w:tc>
      </w:tr>
      <w:tr w:rsidR="00217752" w14:paraId="4F25862F"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2489721D" w14:textId="77777777" w:rsidR="00456256" w:rsidRDefault="00850141">
            <w:r>
              <w:rPr>
                <w:rFonts w:ascii="Arial" w:eastAsia="Arial" w:hAnsi="Arial" w:cs="Arial"/>
                <w:sz w:val="19"/>
                <w:szCs w:val="19"/>
              </w:rPr>
              <w:t>Circlets passing</w:t>
            </w:r>
          </w:p>
        </w:tc>
        <w:tc>
          <w:tcPr>
            <w:tcW w:w="0" w:type="auto"/>
            <w:shd w:val="clear" w:color="auto" w:fill="F5EFE6"/>
            <w:tcMar>
              <w:top w:w="80" w:type="dxa"/>
              <w:left w:w="160" w:type="dxa"/>
              <w:bottom w:w="80" w:type="dxa"/>
              <w:right w:w="160" w:type="dxa"/>
            </w:tcMar>
          </w:tcPr>
          <w:p w14:paraId="47EB9029" w14:textId="77777777" w:rsidR="00456256" w:rsidRDefault="00850141">
            <w:r>
              <w:rPr>
                <w:rFonts w:ascii="Arial" w:eastAsia="Arial" w:hAnsi="Arial" w:cs="Arial"/>
                <w:sz w:val="19"/>
                <w:szCs w:val="19"/>
              </w:rPr>
              <w:t>Small crowns transferred between heads</w:t>
            </w:r>
          </w:p>
        </w:tc>
        <w:tc>
          <w:tcPr>
            <w:tcW w:w="0" w:type="auto"/>
            <w:shd w:val="clear" w:color="auto" w:fill="F5EFE6"/>
            <w:tcMar>
              <w:top w:w="80" w:type="dxa"/>
              <w:left w:w="160" w:type="dxa"/>
              <w:bottom w:w="80" w:type="dxa"/>
              <w:right w:w="160" w:type="dxa"/>
            </w:tcMar>
          </w:tcPr>
          <w:p w14:paraId="330655A1" w14:textId="77777777" w:rsidR="00456256" w:rsidRDefault="00850141">
            <w:r>
              <w:rPr>
                <w:rFonts w:ascii="Arial" w:eastAsia="Arial" w:hAnsi="Arial" w:cs="Arial"/>
                <w:sz w:val="19"/>
                <w:szCs w:val="19"/>
              </w:rPr>
              <w:t>Royal succession; fraternal tapping rituals</w:t>
            </w:r>
          </w:p>
        </w:tc>
        <w:tc>
          <w:tcPr>
            <w:tcW w:w="0" w:type="auto"/>
            <w:shd w:val="clear" w:color="auto" w:fill="F5EFE6"/>
            <w:tcMar>
              <w:top w:w="80" w:type="dxa"/>
              <w:left w:w="160" w:type="dxa"/>
              <w:bottom w:w="80" w:type="dxa"/>
              <w:right w:w="160" w:type="dxa"/>
            </w:tcMar>
          </w:tcPr>
          <w:p w14:paraId="150FC813" w14:textId="77777777" w:rsidR="00456256" w:rsidRDefault="00850141">
            <w:r>
              <w:rPr>
                <w:rFonts w:ascii="Arial" w:eastAsia="Arial" w:hAnsi="Arial" w:cs="Arial"/>
                <w:sz w:val="19"/>
                <w:szCs w:val="19"/>
              </w:rPr>
              <w:t>Power selects its own successors; the process is ritual, not democratic</w:t>
            </w:r>
          </w:p>
        </w:tc>
      </w:tr>
      <w:tr w:rsidR="00217752" w14:paraId="3A914B0E"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273077EE" w14:textId="77777777" w:rsidR="00456256" w:rsidRDefault="00850141">
            <w:r>
              <w:rPr>
                <w:rFonts w:ascii="Arial" w:eastAsia="Arial" w:hAnsi="Arial" w:cs="Arial"/>
                <w:sz w:val="19"/>
                <w:szCs w:val="19"/>
              </w:rPr>
              <w:t>Hedged estate</w:t>
            </w:r>
          </w:p>
        </w:tc>
        <w:tc>
          <w:tcPr>
            <w:tcW w:w="0" w:type="auto"/>
            <w:shd w:val="clear" w:color="auto" w:fill="FFFFFF"/>
            <w:tcMar>
              <w:top w:w="80" w:type="dxa"/>
              <w:left w:w="160" w:type="dxa"/>
              <w:bottom w:w="80" w:type="dxa"/>
              <w:right w:w="160" w:type="dxa"/>
            </w:tcMar>
          </w:tcPr>
          <w:p w14:paraId="0975A022" w14:textId="77777777" w:rsidR="00456256" w:rsidRDefault="00850141">
            <w:r>
              <w:rPr>
                <w:rFonts w:ascii="Arial" w:eastAsia="Arial" w:hAnsi="Arial" w:cs="Arial"/>
                <w:sz w:val="19"/>
                <w:szCs w:val="19"/>
              </w:rPr>
              <w:t>Enclosed private property</w:t>
            </w:r>
          </w:p>
        </w:tc>
        <w:tc>
          <w:tcPr>
            <w:tcW w:w="0" w:type="auto"/>
            <w:shd w:val="clear" w:color="auto" w:fill="FFFFFF"/>
            <w:tcMar>
              <w:top w:w="80" w:type="dxa"/>
              <w:left w:w="160" w:type="dxa"/>
              <w:bottom w:w="80" w:type="dxa"/>
              <w:right w:w="160" w:type="dxa"/>
            </w:tcMar>
          </w:tcPr>
          <w:p w14:paraId="008CF473" w14:textId="77777777" w:rsidR="00456256" w:rsidRDefault="00850141">
            <w:r>
              <w:rPr>
                <w:rFonts w:ascii="Arial" w:eastAsia="Arial" w:hAnsi="Arial" w:cs="Arial"/>
                <w:sz w:val="19"/>
                <w:szCs w:val="19"/>
              </w:rPr>
              <w:t>English Enclosure Acts; Goldsmith's Deserted Village</w:t>
            </w:r>
          </w:p>
        </w:tc>
        <w:tc>
          <w:tcPr>
            <w:tcW w:w="0" w:type="auto"/>
            <w:shd w:val="clear" w:color="auto" w:fill="FFFFFF"/>
            <w:tcMar>
              <w:top w:w="80" w:type="dxa"/>
              <w:left w:w="160" w:type="dxa"/>
              <w:bottom w:w="80" w:type="dxa"/>
              <w:right w:w="160" w:type="dxa"/>
            </w:tcMar>
          </w:tcPr>
          <w:p w14:paraId="3A8A86D1" w14:textId="77777777" w:rsidR="00456256" w:rsidRDefault="00850141">
            <w:r>
              <w:rPr>
                <w:rFonts w:ascii="Arial" w:eastAsia="Arial" w:hAnsi="Arial" w:cs="Arial"/>
                <w:sz w:val="19"/>
                <w:szCs w:val="19"/>
              </w:rPr>
              <w:t>Institutional decision-making is as enclosed as agricultural commons once were</w:t>
            </w:r>
          </w:p>
        </w:tc>
      </w:tr>
      <w:tr w:rsidR="00217752" w14:paraId="5D591EA1"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3C2F8986" w14:textId="77777777" w:rsidR="00456256" w:rsidRDefault="00850141">
            <w:r>
              <w:rPr>
                <w:rFonts w:ascii="Arial" w:eastAsia="Arial" w:hAnsi="Arial" w:cs="Arial"/>
                <w:sz w:val="19"/>
                <w:szCs w:val="19"/>
              </w:rPr>
              <w:t>Cold hearths</w:t>
            </w:r>
          </w:p>
        </w:tc>
        <w:tc>
          <w:tcPr>
            <w:tcW w:w="0" w:type="auto"/>
            <w:shd w:val="clear" w:color="auto" w:fill="F5EFE6"/>
            <w:tcMar>
              <w:top w:w="80" w:type="dxa"/>
              <w:left w:w="160" w:type="dxa"/>
              <w:bottom w:w="80" w:type="dxa"/>
              <w:right w:w="160" w:type="dxa"/>
            </w:tcMar>
          </w:tcPr>
          <w:p w14:paraId="06BBAE6D" w14:textId="77777777" w:rsidR="00456256" w:rsidRDefault="00850141">
            <w:r>
              <w:rPr>
                <w:rFonts w:ascii="Arial" w:eastAsia="Arial" w:hAnsi="Arial" w:cs="Arial"/>
                <w:sz w:val="19"/>
                <w:szCs w:val="19"/>
              </w:rPr>
              <w:t>Unlit domestic fires</w:t>
            </w:r>
          </w:p>
        </w:tc>
        <w:tc>
          <w:tcPr>
            <w:tcW w:w="0" w:type="auto"/>
            <w:shd w:val="clear" w:color="auto" w:fill="F5EFE6"/>
            <w:tcMar>
              <w:top w:w="80" w:type="dxa"/>
              <w:left w:w="160" w:type="dxa"/>
              <w:bottom w:w="80" w:type="dxa"/>
              <w:right w:w="160" w:type="dxa"/>
            </w:tcMar>
          </w:tcPr>
          <w:p w14:paraId="691F4FC8" w14:textId="77777777" w:rsidR="00456256" w:rsidRDefault="00850141">
            <w:r>
              <w:rPr>
                <w:rFonts w:ascii="Arial" w:eastAsia="Arial" w:hAnsi="Arial" w:cs="Arial"/>
                <w:sz w:val="19"/>
                <w:szCs w:val="19"/>
              </w:rPr>
              <w:t>Vesta / Hestia; Roman and Greek hearth religion</w:t>
            </w:r>
          </w:p>
        </w:tc>
        <w:tc>
          <w:tcPr>
            <w:tcW w:w="0" w:type="auto"/>
            <w:shd w:val="clear" w:color="auto" w:fill="F5EFE6"/>
            <w:tcMar>
              <w:top w:w="80" w:type="dxa"/>
              <w:left w:w="160" w:type="dxa"/>
              <w:bottom w:w="80" w:type="dxa"/>
              <w:right w:w="160" w:type="dxa"/>
            </w:tcMar>
          </w:tcPr>
          <w:p w14:paraId="714490BB" w14:textId="77777777" w:rsidR="00456256" w:rsidRDefault="00850141">
            <w:r>
              <w:rPr>
                <w:rFonts w:ascii="Arial" w:eastAsia="Arial" w:hAnsi="Arial" w:cs="Arial"/>
                <w:sz w:val="19"/>
                <w:szCs w:val="19"/>
              </w:rPr>
              <w:t>Common life has been abandoned by the priestly function, which has retreated entirely behind the veil</w:t>
            </w:r>
          </w:p>
        </w:tc>
      </w:tr>
      <w:tr w:rsidR="00217752" w14:paraId="6FF32375" w14:textId="77777777">
        <w:tblPrEx>
          <w:tblCellMar>
            <w:top w:w="0" w:type="dxa"/>
            <w:bottom w:w="0" w:type="dxa"/>
          </w:tblCellMar>
        </w:tblPrEx>
        <w:tc>
          <w:tcPr>
            <w:tcW w:w="0" w:type="auto"/>
            <w:shd w:val="clear" w:color="auto" w:fill="FFFFFF"/>
            <w:tcMar>
              <w:top w:w="80" w:type="dxa"/>
              <w:left w:w="160" w:type="dxa"/>
              <w:bottom w:w="80" w:type="dxa"/>
              <w:right w:w="160" w:type="dxa"/>
            </w:tcMar>
          </w:tcPr>
          <w:p w14:paraId="0D332C31" w14:textId="77777777" w:rsidR="00456256" w:rsidRDefault="00850141">
            <w:r>
              <w:rPr>
                <w:rFonts w:ascii="Arial" w:eastAsia="Arial" w:hAnsi="Arial" w:cs="Arial"/>
                <w:sz w:val="19"/>
                <w:szCs w:val="19"/>
              </w:rPr>
              <w:t>Timber does not rend</w:t>
            </w:r>
          </w:p>
        </w:tc>
        <w:tc>
          <w:tcPr>
            <w:tcW w:w="0" w:type="auto"/>
            <w:shd w:val="clear" w:color="auto" w:fill="FFFFFF"/>
            <w:tcMar>
              <w:top w:w="80" w:type="dxa"/>
              <w:left w:w="160" w:type="dxa"/>
              <w:bottom w:w="80" w:type="dxa"/>
              <w:right w:w="160" w:type="dxa"/>
            </w:tcMar>
          </w:tcPr>
          <w:p w14:paraId="7F330D91" w14:textId="77777777" w:rsidR="00456256" w:rsidRDefault="00850141">
            <w:r>
              <w:rPr>
                <w:rFonts w:ascii="Arial" w:eastAsia="Arial" w:hAnsi="Arial" w:cs="Arial"/>
                <w:sz w:val="19"/>
                <w:szCs w:val="19"/>
              </w:rPr>
              <w:t>Veil that does not tear</w:t>
            </w:r>
          </w:p>
        </w:tc>
        <w:tc>
          <w:tcPr>
            <w:tcW w:w="0" w:type="auto"/>
            <w:shd w:val="clear" w:color="auto" w:fill="FFFFFF"/>
            <w:tcMar>
              <w:top w:w="80" w:type="dxa"/>
              <w:left w:w="160" w:type="dxa"/>
              <w:bottom w:w="80" w:type="dxa"/>
              <w:right w:w="160" w:type="dxa"/>
            </w:tcMar>
          </w:tcPr>
          <w:p w14:paraId="649C7599" w14:textId="77777777" w:rsidR="00456256" w:rsidRDefault="00850141">
            <w:r>
              <w:rPr>
                <w:rFonts w:ascii="Arial" w:eastAsia="Arial" w:hAnsi="Arial" w:cs="Arial"/>
                <w:sz w:val="19"/>
                <w:szCs w:val="19"/>
              </w:rPr>
              <w:t>Matthew 27:51 inverted; 'rend' is the biblical word for tearing of the temple curtain</w:t>
            </w:r>
          </w:p>
        </w:tc>
        <w:tc>
          <w:tcPr>
            <w:tcW w:w="0" w:type="auto"/>
            <w:shd w:val="clear" w:color="auto" w:fill="FFFFFF"/>
            <w:tcMar>
              <w:top w:w="80" w:type="dxa"/>
              <w:left w:w="160" w:type="dxa"/>
              <w:bottom w:w="80" w:type="dxa"/>
              <w:right w:w="160" w:type="dxa"/>
            </w:tcMar>
          </w:tcPr>
          <w:p w14:paraId="61586D95" w14:textId="77777777" w:rsidR="00456256" w:rsidRDefault="00850141">
            <w:r>
              <w:rPr>
                <w:rFonts w:ascii="Arial" w:eastAsia="Arial" w:hAnsi="Arial" w:cs="Arial"/>
                <w:sz w:val="19"/>
                <w:szCs w:val="19"/>
              </w:rPr>
              <w:t>The reformation announced at the crucifixion has been reversed; the curtain is back</w:t>
            </w:r>
          </w:p>
        </w:tc>
      </w:tr>
      <w:tr w:rsidR="00217752" w14:paraId="7E3036E6" w14:textId="77777777">
        <w:tblPrEx>
          <w:tblCellMar>
            <w:top w:w="0" w:type="dxa"/>
            <w:bottom w:w="0" w:type="dxa"/>
          </w:tblCellMar>
        </w:tblPrEx>
        <w:tc>
          <w:tcPr>
            <w:tcW w:w="0" w:type="auto"/>
            <w:shd w:val="clear" w:color="auto" w:fill="F5EFE6"/>
            <w:tcMar>
              <w:top w:w="80" w:type="dxa"/>
              <w:left w:w="160" w:type="dxa"/>
              <w:bottom w:w="80" w:type="dxa"/>
              <w:right w:w="160" w:type="dxa"/>
            </w:tcMar>
          </w:tcPr>
          <w:p w14:paraId="3E9E4F71" w14:textId="77777777" w:rsidR="00456256" w:rsidRDefault="00850141">
            <w:r>
              <w:rPr>
                <w:rFonts w:ascii="Arial" w:eastAsia="Arial" w:hAnsi="Arial" w:cs="Arial"/>
                <w:sz w:val="19"/>
                <w:szCs w:val="19"/>
              </w:rPr>
              <w:t>Name / See / Stand</w:t>
            </w:r>
          </w:p>
        </w:tc>
        <w:tc>
          <w:tcPr>
            <w:tcW w:w="0" w:type="auto"/>
            <w:shd w:val="clear" w:color="auto" w:fill="F5EFE6"/>
            <w:tcMar>
              <w:top w:w="80" w:type="dxa"/>
              <w:left w:w="160" w:type="dxa"/>
              <w:bottom w:w="80" w:type="dxa"/>
              <w:right w:w="160" w:type="dxa"/>
            </w:tcMar>
          </w:tcPr>
          <w:p w14:paraId="5A5A6A48" w14:textId="77777777" w:rsidR="00456256" w:rsidRDefault="00850141">
            <w:r>
              <w:rPr>
                <w:rFonts w:ascii="Arial" w:eastAsia="Arial" w:hAnsi="Arial" w:cs="Arial"/>
                <w:sz w:val="19"/>
                <w:szCs w:val="19"/>
              </w:rPr>
              <w:t>Three imperative verbs</w:t>
            </w:r>
          </w:p>
        </w:tc>
        <w:tc>
          <w:tcPr>
            <w:tcW w:w="0" w:type="auto"/>
            <w:shd w:val="clear" w:color="auto" w:fill="F5EFE6"/>
            <w:tcMar>
              <w:top w:w="80" w:type="dxa"/>
              <w:left w:w="160" w:type="dxa"/>
              <w:bottom w:w="80" w:type="dxa"/>
              <w:right w:w="160" w:type="dxa"/>
            </w:tcMar>
          </w:tcPr>
          <w:p w14:paraId="59AC29E4" w14:textId="77777777" w:rsidR="00456256" w:rsidRDefault="00850141">
            <w:r>
              <w:rPr>
                <w:rFonts w:ascii="Arial" w:eastAsia="Arial" w:hAnsi="Arial" w:cs="Arial"/>
                <w:sz w:val="19"/>
                <w:szCs w:val="19"/>
              </w:rPr>
              <w:t>Ephesians 6:13-17 (Pauline armor); Hebrew naming theology</w:t>
            </w:r>
          </w:p>
        </w:tc>
        <w:tc>
          <w:tcPr>
            <w:tcW w:w="0" w:type="auto"/>
            <w:shd w:val="clear" w:color="auto" w:fill="F5EFE6"/>
            <w:tcMar>
              <w:top w:w="80" w:type="dxa"/>
              <w:left w:w="160" w:type="dxa"/>
              <w:bottom w:w="80" w:type="dxa"/>
              <w:right w:w="160" w:type="dxa"/>
            </w:tcMar>
          </w:tcPr>
          <w:p w14:paraId="3CCFF296" w14:textId="77777777" w:rsidR="00456256" w:rsidRDefault="00850141">
            <w:r>
              <w:rPr>
                <w:rFonts w:ascii="Arial" w:eastAsia="Arial" w:hAnsi="Arial" w:cs="Arial"/>
                <w:sz w:val="19"/>
                <w:szCs w:val="19"/>
              </w:rPr>
              <w:t>Accurate naming and clear sight are the prior conditions for any other resistance</w:t>
            </w:r>
          </w:p>
        </w:tc>
      </w:tr>
    </w:tbl>
    <w:p w14:paraId="04E67C21" w14:textId="77777777" w:rsidR="00456256" w:rsidRDefault="00456256">
      <w:pPr>
        <w:spacing w:before="240"/>
      </w:pPr>
    </w:p>
    <w:p w14:paraId="1934AC12" w14:textId="77777777" w:rsidR="00456256" w:rsidRDefault="00456256">
      <w:pPr>
        <w:pBdr>
          <w:bottom w:val="single" w:sz="4" w:space="4" w:color="B0906A"/>
        </w:pBdr>
        <w:spacing w:before="240" w:after="240"/>
      </w:pPr>
    </w:p>
    <w:p w14:paraId="14B9FD37" w14:textId="77777777" w:rsidR="00456256" w:rsidRDefault="00456256">
      <w:pPr>
        <w:spacing w:before="120"/>
      </w:pPr>
    </w:p>
    <w:p w14:paraId="3E33F62E" w14:textId="77777777" w:rsidR="00456256" w:rsidRDefault="00850141">
      <w:pPr>
        <w:jc w:val="center"/>
      </w:pPr>
      <w:r>
        <w:rPr>
          <w:i/>
          <w:iCs/>
          <w:color w:val="AAAAAA"/>
          <w:sz w:val="20"/>
          <w:szCs w:val="20"/>
        </w:rPr>
        <w:t>— End —</w:t>
      </w:r>
    </w:p>
    <w:sectPr w:rsidR="00456256">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05903" w14:textId="77777777" w:rsidR="00EB5290" w:rsidRDefault="00EB5290">
      <w:r>
        <w:separator/>
      </w:r>
    </w:p>
  </w:endnote>
  <w:endnote w:type="continuationSeparator" w:id="0">
    <w:p w14:paraId="4D0363CF" w14:textId="77777777" w:rsidR="00EB5290" w:rsidRDefault="00EB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7576" w14:textId="77777777" w:rsidR="00456256" w:rsidRDefault="00850141">
    <w:pPr>
      <w:pBdr>
        <w:top w:val="single" w:sz="3" w:space="4" w:color="B0906A"/>
      </w:pBdr>
      <w:jc w:val="center"/>
    </w:pPr>
    <w:r>
      <w:rPr>
        <w:rFonts w:ascii="Arial" w:eastAsia="Arial" w:hAnsi="Arial" w:cs="Arial"/>
        <w:color w:val="888888"/>
        <w:sz w:val="17"/>
        <w:szCs w:val="17"/>
      </w:rPr>
      <w:t xml:space="preserve">— </w:t>
    </w:r>
    <w:r>
      <w:rPr>
        <w:rFonts w:ascii="Arial" w:eastAsia="Arial" w:hAnsi="Arial" w:cs="Arial"/>
        <w:color w:val="888888"/>
        <w:sz w:val="17"/>
        <w:szCs w:val="17"/>
      </w:rPr>
      <w:fldChar w:fldCharType="begin"/>
    </w:r>
    <w:r>
      <w:rPr>
        <w:rFonts w:ascii="Arial" w:eastAsia="Arial" w:hAnsi="Arial" w:cs="Arial"/>
        <w:color w:val="888888"/>
        <w:sz w:val="17"/>
        <w:szCs w:val="17"/>
      </w:rPr>
      <w:instrText>PAGE</w:instrText>
    </w:r>
    <w:r>
      <w:rPr>
        <w:rFonts w:ascii="Arial" w:eastAsia="Arial" w:hAnsi="Arial" w:cs="Arial"/>
        <w:color w:val="888888"/>
        <w:sz w:val="17"/>
        <w:szCs w:val="17"/>
      </w:rPr>
      <w:fldChar w:fldCharType="separate"/>
    </w:r>
    <w:r w:rsidR="002055EA">
      <w:rPr>
        <w:rFonts w:ascii="Arial" w:eastAsia="Arial" w:hAnsi="Arial" w:cs="Arial"/>
        <w:noProof/>
        <w:color w:val="888888"/>
        <w:sz w:val="17"/>
        <w:szCs w:val="17"/>
      </w:rPr>
      <w:t>1</w:t>
    </w:r>
    <w:r>
      <w:rPr>
        <w:rFonts w:ascii="Arial" w:eastAsia="Arial" w:hAnsi="Arial" w:cs="Arial"/>
        <w:color w:val="888888"/>
        <w:sz w:val="17"/>
        <w:szCs w:val="17"/>
      </w:rPr>
      <w:fldChar w:fldCharType="end"/>
    </w:r>
    <w:r>
      <w:rPr>
        <w:rFonts w:ascii="Arial" w:eastAsia="Arial" w:hAnsi="Arial" w:cs="Arial"/>
        <w:color w:val="888888"/>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7D8D2" w14:textId="77777777" w:rsidR="00EB5290" w:rsidRDefault="00EB5290">
      <w:r>
        <w:separator/>
      </w:r>
    </w:p>
  </w:footnote>
  <w:footnote w:type="continuationSeparator" w:id="0">
    <w:p w14:paraId="27D40CB8" w14:textId="77777777" w:rsidR="00EB5290" w:rsidRDefault="00EB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6BE0" w14:textId="77777777" w:rsidR="00456256" w:rsidRDefault="00850141">
    <w:pPr>
      <w:pBdr>
        <w:bottom w:val="single" w:sz="3" w:space="4" w:color="B0906A"/>
      </w:pBdr>
      <w:jc w:val="right"/>
    </w:pPr>
    <w:r>
      <w:rPr>
        <w:rFonts w:ascii="Arial" w:eastAsia="Arial" w:hAnsi="Arial" w:cs="Arial"/>
        <w:i/>
        <w:iCs/>
        <w:color w:val="888888"/>
        <w:sz w:val="17"/>
        <w:szCs w:val="17"/>
      </w:rPr>
      <w:t>Altar, Oath, and Silence — A Critical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E6F2C"/>
    <w:multiLevelType w:val="hybridMultilevel"/>
    <w:tmpl w:val="62A4C4D2"/>
    <w:lvl w:ilvl="0" w:tplc="62CA7170">
      <w:start w:val="1"/>
      <w:numFmt w:val="bullet"/>
      <w:lvlText w:val="●"/>
      <w:lvlJc w:val="left"/>
      <w:pPr>
        <w:ind w:left="720" w:hanging="360"/>
      </w:pPr>
    </w:lvl>
    <w:lvl w:ilvl="1" w:tplc="539C2026">
      <w:start w:val="1"/>
      <w:numFmt w:val="bullet"/>
      <w:lvlText w:val="○"/>
      <w:lvlJc w:val="left"/>
      <w:pPr>
        <w:ind w:left="1440" w:hanging="360"/>
      </w:pPr>
    </w:lvl>
    <w:lvl w:ilvl="2" w:tplc="973C84A6">
      <w:start w:val="1"/>
      <w:numFmt w:val="bullet"/>
      <w:lvlText w:val="■"/>
      <w:lvlJc w:val="left"/>
      <w:pPr>
        <w:ind w:left="2160" w:hanging="360"/>
      </w:pPr>
    </w:lvl>
    <w:lvl w:ilvl="3" w:tplc="656685A6">
      <w:start w:val="1"/>
      <w:numFmt w:val="bullet"/>
      <w:lvlText w:val="●"/>
      <w:lvlJc w:val="left"/>
      <w:pPr>
        <w:ind w:left="2880" w:hanging="360"/>
      </w:pPr>
    </w:lvl>
    <w:lvl w:ilvl="4" w:tplc="D29651AA">
      <w:start w:val="1"/>
      <w:numFmt w:val="bullet"/>
      <w:lvlText w:val="○"/>
      <w:lvlJc w:val="left"/>
      <w:pPr>
        <w:ind w:left="3600" w:hanging="360"/>
      </w:pPr>
    </w:lvl>
    <w:lvl w:ilvl="5" w:tplc="5E045006">
      <w:start w:val="1"/>
      <w:numFmt w:val="bullet"/>
      <w:lvlText w:val="■"/>
      <w:lvlJc w:val="left"/>
      <w:pPr>
        <w:ind w:left="4320" w:hanging="360"/>
      </w:pPr>
    </w:lvl>
    <w:lvl w:ilvl="6" w:tplc="5E4849B8">
      <w:start w:val="1"/>
      <w:numFmt w:val="bullet"/>
      <w:lvlText w:val="●"/>
      <w:lvlJc w:val="left"/>
      <w:pPr>
        <w:ind w:left="5040" w:hanging="360"/>
      </w:pPr>
    </w:lvl>
    <w:lvl w:ilvl="7" w:tplc="A008E6DC">
      <w:start w:val="1"/>
      <w:numFmt w:val="bullet"/>
      <w:lvlText w:val="●"/>
      <w:lvlJc w:val="left"/>
      <w:pPr>
        <w:ind w:left="5760" w:hanging="360"/>
      </w:pPr>
    </w:lvl>
    <w:lvl w:ilvl="8" w:tplc="4978E0D2">
      <w:start w:val="1"/>
      <w:numFmt w:val="bullet"/>
      <w:lvlText w:val="●"/>
      <w:lvlJc w:val="left"/>
      <w:pPr>
        <w:ind w:left="6480" w:hanging="360"/>
      </w:pPr>
    </w:lvl>
  </w:abstractNum>
  <w:num w:numId="1" w16cid:durableId="17636429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256"/>
    <w:rsid w:val="002055EA"/>
    <w:rsid w:val="00217752"/>
    <w:rsid w:val="003D432D"/>
    <w:rsid w:val="00456256"/>
    <w:rsid w:val="00850141"/>
    <w:rsid w:val="00EB5290"/>
    <w:rsid w:val="00F1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AFD8"/>
  <w15:docId w15:val="{6A452F65-8522-41A3-9B15-CD8F60F2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520" w:after="200"/>
      <w:outlineLvl w:val="0"/>
    </w:pPr>
    <w:rPr>
      <w:b/>
      <w:bCs/>
      <w:color w:val="1A1A2E"/>
      <w:sz w:val="34"/>
      <w:szCs w:val="34"/>
    </w:rPr>
  </w:style>
  <w:style w:type="paragraph" w:styleId="Heading2">
    <w:name w:val="heading 2"/>
    <w:uiPriority w:val="9"/>
    <w:unhideWhenUsed/>
    <w:qFormat/>
    <w:pPr>
      <w:spacing w:before="360" w:after="160"/>
      <w:outlineLvl w:val="1"/>
    </w:pPr>
    <w:rPr>
      <w:b/>
      <w:bCs/>
      <w:color w:val="2E3A59"/>
      <w:sz w:val="26"/>
      <w:szCs w:val="26"/>
    </w:rPr>
  </w:style>
  <w:style w:type="paragraph" w:styleId="Heading3">
    <w:name w:val="heading 3"/>
    <w:uiPriority w:val="9"/>
    <w:semiHidden/>
    <w:unhideWhenUsed/>
    <w:qFormat/>
    <w:pPr>
      <w:spacing w:before="240" w:after="120"/>
      <w:outlineLvl w:val="2"/>
    </w:pPr>
    <w:rPr>
      <w:b/>
      <w:bCs/>
      <w:color w:val="4A5568"/>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20</Pages>
  <Words>5385</Words>
  <Characters>30696</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Jeff Pierson</cp:lastModifiedBy>
  <cp:revision>1</cp:revision>
  <dcterms:created xsi:type="dcterms:W3CDTF">2026-03-16T12:27:00Z</dcterms:created>
  <dcterms:modified xsi:type="dcterms:W3CDTF">2026-03-19T21:11:00Z</dcterms:modified>
</cp:coreProperties>
</file>