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000"/>
      </w:pPr>
    </w:p>
    <w:p>
      <w:pPr>
        <w:spacing w:after="100"/>
        <w:jc w:val="center"/>
      </w:pPr>
      <w:r>
        <w:rPr>
          <w:rFonts w:ascii="Arial" w:cs="Arial" w:eastAsia="Arial" w:hAnsi="Arial"/>
          <w:b/>
          <w:bCs/>
          <w:color w:val="CC0000"/>
          <w:sz w:val="28"/>
          <w:szCs w:val="28"/>
        </w:rPr>
        <w:t xml:space="preserve">DRAFT</w:t>
      </w:r>
    </w:p>
    <w:p>
      <w:pPr>
        <w:spacing w:after="200"/>
        <w:jc w:val="center"/>
      </w:pPr>
      <w:r>
        <w:rPr>
          <w:rFonts w:ascii="Arial" w:cs="Arial" w:eastAsia="Arial" w:hAnsi="Arial"/>
          <w:b/>
          <w:bCs/>
          <w:color w:val="1B3A5C"/>
          <w:sz w:val="40"/>
          <w:szCs w:val="40"/>
        </w:rPr>
        <w:t xml:space="preserve">ECONOMIC VALUE ASSESSMENT</w:t>
      </w:r>
    </w:p>
    <w:p>
      <w:pPr>
        <w:spacing w:after="200" w:line="276"/>
        <w:jc w:val="center"/>
      </w:pPr>
      <w:r>
        <w:rPr>
          <w:rFonts w:ascii="Arial" w:cs="Arial" w:eastAsia="Arial" w:hAnsi="Arial"/>
          <w:color w:val="2E75B6"/>
          <w:sz w:val="28"/>
          <w:szCs w:val="28"/>
        </w:rPr>
        <w:t xml:space="preserve">Farmland, Public Lands, and Energy Conversion</w:t>
      </w:r>
    </w:p>
    <w:p>
      <w:pPr>
        <w:spacing w:after="300"/>
        <w:jc w:val="center"/>
      </w:pPr>
      <w:r>
        <w:rPr>
          <w:rFonts w:ascii="Arial" w:cs="Arial" w:eastAsia="Arial" w:hAnsi="Arial"/>
          <w:sz w:val="24"/>
          <w:szCs w:val="24"/>
        </w:rPr>
        <w:t xml:space="preserve">Jerome County, Idaho</w:t>
      </w:r>
    </w:p>
    <w:p>
      <w:pPr>
        <w:spacing w:after="400"/>
        <w:jc w:val="center"/>
      </w:pPr>
      <w:r>
        <w:rPr>
          <w:rFonts w:ascii="Arial" w:cs="Arial" w:eastAsia="Arial" w:hAnsi="Arial"/>
          <w:b/>
          <w:bCs/>
          <w:color w:val="1B3A5C"/>
          <w:sz w:val="24"/>
          <w:szCs w:val="24"/>
        </w:rPr>
        <w:t xml:space="preserve">Who Benefits, Who Pays, and Where Is the Line?</w:t>
      </w:r>
    </w:p>
    <w:p>
      <w:pPr>
        <w:spacing w:after="200" w:line="276"/>
        <w:jc w:val="center"/>
      </w:pPr>
      <w:r>
        <w:rPr>
          <w:rFonts w:ascii="Arial" w:cs="Arial" w:eastAsia="Arial" w:hAnsi="Arial"/>
          <w:color w:val="666666"/>
          <w:sz w:val="20"/>
          <w:szCs w:val="20"/>
        </w:rPr>
        <w:t xml:space="preserve">A comparative analysis at 5%, 10%, and 20% conversion thresholds with bottom-up energy production economics, cascading effects on agriculture, dairy, and food processing, working-class family impact, strategic alignment analysis, and regulatory limit justification.</w:t>
      </w:r>
    </w:p>
    <w:p>
      <w:pPr>
        <w:spacing w:before="800"/>
      </w:pPr>
    </w:p>
    <w:p>
      <w:pPr>
        <w:spacing w:after="200" w:line="276"/>
        <w:jc w:val="center"/>
      </w:pPr>
      <w:r>
        <w:rPr>
          <w:rFonts w:ascii="Arial" w:cs="Arial" w:eastAsia="Arial" w:hAnsi="Arial"/>
          <w:color w:val="666666"/>
          <w:sz w:val="20"/>
          <w:szCs w:val="20"/>
        </w:rPr>
        <w:t xml:space="preserve">Prepared by Jeff A Pierson</w:t>
      </w:r>
    </w:p>
    <w:p>
      <w:pPr>
        <w:spacing w:after="200" w:line="276"/>
        <w:jc w:val="center"/>
      </w:pPr>
      <w:r>
        <w:rPr>
          <w:rFonts w:ascii="Arial" w:cs="Arial" w:eastAsia="Arial" w:hAnsi="Arial"/>
          <w:color w:val="666666"/>
          <w:sz w:val="20"/>
          <w:szCs w:val="20"/>
        </w:rPr>
        <w:t xml:space="preserve">713 East Ave C, Jerome, Idaho • March 25, 2026</w:t>
      </w:r>
    </w:p>
    <w:p>
      <w:r>
        <w:br w:type="page"/>
      </w:r>
    </w:p>
    <w:p>
      <w:pPr>
        <w:sectPr>
          <w:pgSz w:w="12240" w:h="15840" w:orient="portrait"/>
          <w:pgMar w:top="1440" w:right="1440" w:bottom="1440" w:left="1440" w:header="708" w:footer="708" w:gutter="0"/>
          <w:pgNumType/>
          <w:docGrid w:linePitch="360"/>
        </w:sectPr>
      </w:pPr>
    </w:p>
    <w:p>
      <w:pPr>
        <w:pStyle w:val="Heading1"/>
      </w:pPr>
      <w:r>
        <w:rPr>
          <w:rFonts w:ascii="Arial" w:cs="Arial" w:eastAsia="Arial" w:hAnsi="Arial"/>
          <w:sz w:val="24"/>
          <w:szCs w:val="24"/>
        </w:rPr>
        <w:t xml:space="preserve">Cover Letter</w:t>
      </w:r>
    </w:p>
    <w:p>
      <w:pPr>
        <w:spacing w:after="200" w:line="276"/>
      </w:pPr>
      <w:r>
        <w:rPr>
          <w:rFonts w:ascii="Arial" w:cs="Arial" w:eastAsia="Arial" w:hAnsi="Arial"/>
          <w:sz w:val="24"/>
          <w:szCs w:val="24"/>
        </w:rPr>
        <w:t xml:space="preserve">March 25, 2026</w:t>
      </w:r>
    </w:p>
    <w:p>
      <w:pPr>
        <w:spacing w:after="200" w:line="276"/>
      </w:pPr>
      <w:r>
        <w:rPr>
          <w:rFonts w:ascii="Arial" w:cs="Arial" w:eastAsia="Arial" w:hAnsi="Arial"/>
          <w:sz w:val="24"/>
          <w:szCs w:val="24"/>
        </w:rPr>
        <w:t xml:space="preserve">To the Honorable Members of the Jerome County Board of County Commissioners,</w:t>
      </w:r>
    </w:p>
    <w:p>
      <w:pPr>
        <w:spacing w:after="200" w:line="276"/>
      </w:pPr>
      <w:r>
        <w:rPr>
          <w:rFonts w:ascii="Arial" w:cs="Arial" w:eastAsia="Arial" w:hAnsi="Arial"/>
          <w:sz w:val="24"/>
          <w:szCs w:val="24"/>
        </w:rPr>
        <w:t xml:space="preserve">Fellow Elected Officials, Agricultural Leaders, and Concerned Citizens of Idaho:</w:t>
      </w:r>
    </w:p>
    <w:p>
      <w:pPr>
        <w:spacing w:after="200" w:line="276"/>
      </w:pPr>
      <w:r>
        <w:rPr>
          <w:rFonts w:ascii="Arial" w:cs="Arial" w:eastAsia="Arial" w:hAnsi="Arial"/>
          <w:sz w:val="24"/>
          <w:szCs w:val="24"/>
        </w:rPr>
        <w:t xml:space="preserve">The enclosed Economic Value Assessment was prepared to provide a factual, data-driven analysis of the economic consequences of converting irrigated agricultural farmland in Jerome County to energy facility use. It is intended to inform—not to advocate for or against any specific project, developer, or political position. The conclusions follow from the numbers, and the numbers are documented.</w:t>
      </w:r>
    </w:p>
    <w:p>
      <w:pPr>
        <w:spacing w:after="200" w:line="276"/>
      </w:pPr>
      <w:r>
        <w:rPr>
          <w:rFonts w:ascii="Arial" w:cs="Arial" w:eastAsia="Arial" w:hAnsi="Arial"/>
          <w:b/>
          <w:bCs/>
          <w:sz w:val="24"/>
          <w:szCs w:val="24"/>
        </w:rPr>
        <w:t xml:space="preserve">A note on methodology and limitations: </w:t>
      </w:r>
      <w:r>
        <w:rPr>
          <w:rFonts w:ascii="Arial" w:cs="Arial" w:eastAsia="Arial" w:hAnsi="Arial"/>
          <w:sz w:val="24"/>
          <w:szCs w:val="24"/>
        </w:rPr>
        <w:t xml:space="preserve">This analysis models economic outcomes based on publicly available data from the USDA Census of Agriculture, NREL, LBNL, Idaho Power rate filings, FERC and IPUC proceedings, BLS employment data, University of Idaho extension research, developer testimony, and interconnection queue filings. Where ranges exist, the analysis uses both conservative and generous assumptions and reports the range. The energy-side calculations are intentionally generous—they include every identifiable revenue stream—to ensure the comparison is fair to both sides. Where data is incomplete or estimated, it is noted. No model captures every variable, and actual outcomes will depend on market conditions, regulatory decisions, and project-specific factors that cannot be fully predicted. We can only model based on what we know.</w:t>
      </w:r>
    </w:p>
    <w:p>
      <w:pPr>
        <w:spacing w:after="200" w:line="276"/>
      </w:pPr>
      <w:r>
        <w:rPr>
          <w:rFonts w:ascii="Arial" w:cs="Arial" w:eastAsia="Arial" w:hAnsi="Arial"/>
          <w:b/>
          <w:bCs/>
          <w:sz w:val="24"/>
          <w:szCs w:val="24"/>
        </w:rPr>
        <w:t xml:space="preserve">What the numbers show, even at conservative conversion levels:</w:t>
      </w:r>
    </w:p>
    <w:p>
      <w:pPr>
        <w:spacing w:after="200" w:line="276"/>
      </w:pPr>
      <w:r>
        <w:rPr>
          <w:rFonts w:ascii="Arial" w:cs="Arial" w:eastAsia="Arial" w:hAnsi="Arial"/>
          <w:sz w:val="24"/>
          <w:szCs w:val="24"/>
        </w:rPr>
        <w:t xml:space="preserve">At just 1% conversion (1,570 acres), Jerome County loses $9.4 million per year in direct agricultural production. Approximately $48 million in developer revenue leaves the county annually, flowing to out-of-state corporate treasuries. The county retains roughly $5 million. Sixty-three agricultural jobs are eliminated and replaced by 8 energy monitoring positions. This is a single large project—one permit, one facility.</w:t>
      </w:r>
    </w:p>
    <w:p>
      <w:pPr>
        <w:spacing w:after="200" w:line="276"/>
      </w:pPr>
      <w:r>
        <w:rPr>
          <w:rFonts w:ascii="Arial" w:cs="Arial" w:eastAsia="Arial" w:hAnsi="Arial"/>
          <w:sz w:val="24"/>
          <w:szCs w:val="24"/>
        </w:rPr>
        <w:t xml:space="preserve">At 3% conversion (4,710 acres)—still less than what is already in the development pipeline targeting the Midpoint substation—the losses accelerate: $28.3 million per year in direct agricultural production eliminated, $79–$99 million in total local economic activity lost when the dairy multiplier is applied, $95–$194 million per year in developer revenue exported out of the county, and 188 agricultural jobs displaced by 24 energy positions. The net drain on the local economy at 3% alone is $62–$88 million per year, every year, for the 25–30 year life of the project. This money does not recirculate in Jerome County, the Magic Valley, or Idaho. It goes to corporate headquarters in Florida, institutional shareholders in New York, and equipment manufacturers overseas.</w:t>
      </w:r>
    </w:p>
    <w:p>
      <w:pPr>
        <w:spacing w:after="200" w:line="276"/>
      </w:pPr>
      <w:r>
        <w:rPr>
          <w:rFonts w:ascii="Arial" w:cs="Arial" w:eastAsia="Arial" w:hAnsi="Arial"/>
          <w:sz w:val="24"/>
          <w:szCs w:val="24"/>
        </w:rPr>
        <w:t xml:space="preserve">These are not speculative projections. They are arithmetic—acres multiplied by documented per-acre values, verified against federal data, and cross-checked with peer-reviewed research. The agricultural economy is not an abstraction. It is the livelihoods of farm families, dairy workers, equipment operators, truck drivers, and the businesses that serve them. The dairy industry that depends on Jerome County’s feed production contributes $7–11 billion to Idaho’s economy. When local feed acres disappear under solar panels, the cost is not borne by the developers who profit from the conversion. It is borne by the families and communities left behind.</w:t>
      </w:r>
    </w:p>
    <w:p>
      <w:pPr>
        <w:spacing w:after="200" w:line="276"/>
      </w:pPr>
      <w:r>
        <w:rPr>
          <w:rFonts w:ascii="Arial" w:cs="Arial" w:eastAsia="Arial" w:hAnsi="Arial"/>
          <w:b/>
          <w:bCs/>
          <w:sz w:val="24"/>
          <w:szCs w:val="24"/>
        </w:rPr>
        <w:t xml:space="preserve">Idaho’s farmland is not a renewable resource. </w:t>
      </w:r>
      <w:r>
        <w:rPr>
          <w:rFonts w:ascii="Arial" w:cs="Arial" w:eastAsia="Arial" w:hAnsi="Arial"/>
          <w:sz w:val="24"/>
          <w:szCs w:val="24"/>
        </w:rPr>
        <w:t xml:space="preserve">Class I and Class II soils took 10,000–15,000 years to form. The USDA uses the term “irreversible conversion.” Once these acres are lost to 25–30 year energy leases, they do not come back—not in our lifetimes, and not in our children’s. Every jurisdiction that has examined this question—Bannock County, Cecil and Montgomery Counties in Maryland, and the Idaho Legislature through SB 1133—has concluded that prime farmland warrants categorical protection.</w:t>
      </w:r>
    </w:p>
    <w:p>
      <w:pPr>
        <w:spacing w:after="200" w:line="276"/>
      </w:pPr>
      <w:r>
        <w:rPr>
          <w:rFonts w:ascii="Arial" w:cs="Arial" w:eastAsia="Arial" w:hAnsi="Arial"/>
          <w:sz w:val="24"/>
          <w:szCs w:val="24"/>
        </w:rPr>
        <w:t xml:space="preserve">This document is provided in the hope that it will be useful to anyone entrusted with decisions about the future of Jerome County’s agricultural land. The data is yours to verify, challenge, and build upon. The only thing we ask is that the decisions be made with full knowledge of what is at stake—and who ultimately pays.</w:t>
      </w:r>
    </w:p>
    <w:p>
      <w:pPr>
        <w:spacing w:after="200" w:line="276"/>
      </w:pPr>
      <w:r>
        <w:rPr>
          <w:rFonts w:ascii="Arial" w:cs="Arial" w:eastAsia="Arial" w:hAnsi="Arial"/>
          <w:sz w:val="24"/>
          <w:szCs w:val="24"/>
        </w:rPr>
        <w:t xml:space="preserve">Respectfully,</w:t>
      </w:r>
    </w:p>
    <w:p>
      <w:pPr>
        <w:spacing w:after="200" w:line="276"/>
      </w:pPr>
      <w:r>
        <w:rPr>
          <w:rFonts w:ascii="Arial" w:cs="Arial" w:eastAsia="Arial" w:hAnsi="Arial"/>
          <w:b/>
          <w:bCs/>
          <w:sz w:val="24"/>
          <w:szCs w:val="24"/>
        </w:rPr>
        <w:t xml:space="preserve">Jeff A Pierson</w:t>
      </w:r>
    </w:p>
    <w:p>
      <w:pPr>
        <w:spacing w:after="200" w:line="276"/>
      </w:pPr>
      <w:r>
        <w:rPr>
          <w:rFonts w:ascii="Arial" w:cs="Arial" w:eastAsia="Arial" w:hAnsi="Arial"/>
          <w:sz w:val="24"/>
          <w:szCs w:val="24"/>
        </w:rPr>
        <w:t xml:space="preserve">713 East Ave C, Jerome, Idaho</w:t>
      </w:r>
    </w:p>
    <w:p>
      <w:pPr>
        <w:spacing w:after="200" w:line="276"/>
      </w:pPr>
      <w:r>
        <w:rPr>
          <w:rFonts w:ascii="Arial" w:cs="Arial" w:eastAsia="Arial" w:hAnsi="Arial"/>
          <w:sz w:val="24"/>
          <w:szCs w:val="24"/>
        </w:rPr>
        <w:t xml:space="preserve">jeff.a.pierson@gmail.com</w:t>
      </w:r>
    </w:p>
    <w:p>
      <w:r>
        <w:br w:type="page"/>
      </w:r>
    </w:p>
    <w:p>
      <w:pPr>
        <w:pStyle w:val="Heading1"/>
      </w:pPr>
      <w:r>
        <w:rPr>
          <w:rFonts w:ascii="Arial" w:cs="Arial" w:eastAsia="Arial" w:hAnsi="Arial"/>
          <w:sz w:val="24"/>
          <w:szCs w:val="24"/>
        </w:rPr>
        <w:t xml:space="preserve">BOTTOM LINE UP FRONT</w:t>
      </w:r>
    </w:p>
    <w:p>
      <w:pPr>
        <w:spacing w:after="200" w:line="276"/>
      </w:pPr>
      <w:r>
        <w:rPr>
          <w:rFonts w:ascii="Arial" w:cs="Arial" w:eastAsia="Arial" w:hAnsi="Arial"/>
          <w:sz w:val="20"/>
          <w:szCs w:val="20"/>
        </w:rPr>
        <w:t xml:space="preserve">This analysis models every dollar of energy production, every revenue stream, every job, and every tax dollar at 5%, 10%, and 20% conversion of Jerome County’s 157,000 irrigated acres. Projects already in the development pipeline targeting the Midpoint substation—including the 1,000+ MW Magic Valley Energy project, the 400 MW Snake River Energy Solar facility, and interconnection queue entries totaling over 2,000 MW—represent 4–7% conversion of Jerome County’s irrigated acres before a single permit has been issued. Solar development is coming with or without SWIP-N. But SWIP-N and the Midpoint substation have made Jerome County one of the highest-priority energy development targets in the state and possibly the nation. The energy-side calculations are generous: they include wholesale electricity revenue, capacity payments, REC sales, BESS arbitrage revenue, construction spending, lease payments, and Idaho’s 3.5% solar tax. Every assumption is documented and auditable.</w:t>
      </w:r>
    </w:p>
    <w:p>
      <w:pPr>
        <w:pBdr>
          <w:top w:val="single" w:color="1B3A5C" w:sz="6" w:space="6"/>
          <w:bottom w:val="single" w:color="1B3A5C" w:sz="6" w:space="6"/>
        </w:pBdr>
        <w:spacing w:after="200" w:before="200"/>
      </w:pPr>
      <w:r>
        <w:rPr>
          <w:rFonts w:ascii="Arial" w:cs="Arial" w:eastAsia="Arial" w:hAnsi="Arial"/>
          <w:b/>
          <w:bCs/>
          <w:color w:val="1B3A5C"/>
          <w:sz w:val="24"/>
          <w:szCs w:val="24"/>
        </w:rPr>
        <w:t xml:space="preserve">THE FINDING: </w:t>
      </w:r>
      <w:r>
        <w:rPr>
          <w:rFonts w:ascii="Arial" w:cs="Arial" w:eastAsia="Arial" w:hAnsi="Arial"/>
          <w:sz w:val="22"/>
          <w:szCs w:val="22"/>
        </w:rPr>
        <w:t xml:space="preserve">Conversion of irrigated Class I and Class II farmland to energy facility use produces a net economic loss to Jerome County at every percentage tested. For every $1 the county retains from energy development, it loses $2.20–$3.00 in agricultural economic activity. The break-even price is $6,013 per acre per year. The best-case energy return is $1,588 per acre per year. Energy would need to pay 3.8 times current rates to match agriculture’s local economic value. It cannot. The line for conversion on irrigated Class I/II soils is zero percent.</w:t>
      </w:r>
    </w:p>
    <w:p>
      <w:pPr>
        <w:spacing w:after="200" w:line="276"/>
      </w:pPr>
      <w:r>
        <w:rPr>
          <w:rFonts w:ascii="Arial" w:cs="Arial" w:eastAsia="Arial" w:hAnsi="Arial"/>
          <w:b/>
          <w:bCs/>
          <w:sz w:val="24"/>
          <w:szCs w:val="24"/>
        </w:rPr>
        <w:t xml:space="preserve">Where conversion CAN be justified: </w:t>
      </w:r>
      <w:r>
        <w:rPr>
          <w:rFonts w:ascii="Arial" w:cs="Arial" w:eastAsia="Arial" w:hAnsi="Arial"/>
          <w:sz w:val="24"/>
          <w:szCs w:val="24"/>
        </w:rPr>
        <w:t xml:space="preserve">Non-irrigated land, non-Class I/II soils, already-disturbed brownfields, former industrial sites, and designated industrial zones. These lands produce little or no agricultural value, impose no supply chain disruption, and are exactly the sites the EPA’s RE-Powering Initiative (190,000+ acres) and the IRA’s energy community tax credit were designed to serve.</w:t>
      </w:r>
    </w:p>
    <w:p>
      <w:pPr>
        <w:spacing w:after="200" w:line="276"/>
      </w:pPr>
      <w:r>
        <w:rPr>
          <w:rFonts w:ascii="Arial" w:cs="Arial" w:eastAsia="Arial" w:hAnsi="Arial"/>
          <w:b/>
          <w:bCs/>
          <w:sz w:val="24"/>
          <w:szCs w:val="24"/>
        </w:rPr>
        <w:t xml:space="preserve">Who benefits from farmland conversion: </w:t>
      </w:r>
      <w:r>
        <w:rPr>
          <w:rFonts w:ascii="Arial" w:cs="Arial" w:eastAsia="Arial" w:hAnsi="Arial"/>
          <w:sz w:val="24"/>
          <w:szCs w:val="24"/>
        </w:rPr>
        <w:t xml:space="preserve">Out-of-state developers (NextEra, FL), institutional shareholders (BlackRock, Vanguard, State Street in NY), equipment manufacturers (Samsung SDI, South Korea), and transmission owners (LS Power, NY). At 10% conversion, $340–$680 million per year in developer revenue leaves Jerome County. The county retains $31–$43 million.</w:t>
      </w:r>
    </w:p>
    <w:p>
      <w:pPr>
        <w:spacing w:after="200" w:line="276"/>
      </w:pPr>
      <w:r>
        <w:rPr>
          <w:rFonts w:ascii="Arial" w:cs="Arial" w:eastAsia="Arial" w:hAnsi="Arial"/>
          <w:b/>
          <w:bCs/>
          <w:sz w:val="24"/>
          <w:szCs w:val="24"/>
        </w:rPr>
        <w:t xml:space="preserve">Who pays: </w:t>
      </w:r>
      <w:r>
        <w:rPr>
          <w:rFonts w:ascii="Arial" w:cs="Arial" w:eastAsia="Arial" w:hAnsi="Arial"/>
          <w:sz w:val="24"/>
          <w:szCs w:val="24"/>
        </w:rPr>
        <w:t xml:space="preserve">Working families, farm laborers, dairy workers, equipment operators, truck drivers, and every ratepayer in Idaho Power’s service territory. Agricultural jobs pay $32,000–$55,000 with year-round stability. Energy facilities create 2–3 permanent monitoring jobs per facility. A 10% conversion eliminates 628 agricultural jobs and creates 96 energy jobs—a net loss of 532 positions. Displaced workers do not transition to BESS technician roles. They transition to unemployment, underemployment, or outmigration.</w:t>
      </w:r>
    </w:p>
    <w:p>
      <w:pPr>
        <w:spacing w:after="200" w:line="276"/>
      </w:pPr>
      <w:r>
        <w:rPr>
          <w:rFonts w:ascii="Arial" w:cs="Arial" w:eastAsia="Arial" w:hAnsi="Arial"/>
          <w:b/>
          <w:bCs/>
          <w:sz w:val="24"/>
          <w:szCs w:val="24"/>
        </w:rPr>
        <w:t xml:space="preserve">Where the money goes: </w:t>
      </w:r>
      <w:r>
        <w:rPr>
          <w:rFonts w:ascii="Arial" w:cs="Arial" w:eastAsia="Arial" w:hAnsi="Arial"/>
          <w:sz w:val="24"/>
          <w:szCs w:val="24"/>
        </w:rPr>
        <w:t xml:space="preserve">Renewable energy projects on farmland are capital export operations. The electricity revenue, capacity payments, REC credits, and arbitrage profits flow to out-of-state corporate treasuries—not into the local or state economy. At just 3% conversion (4,710 acres)—less than what is already in the development pipeline—developer revenue totals $106–$211 million per year. Of that, $95–$194 million per year leaves Jerome County entirely. It goes to corporate headquarters in Florida and New York, to institutional shareholders on Wall Street, and to equipment manufacturers overseas. The county retains only $11–$17 million in lease payments, solar tax, and a thin slice of construction spending. Meanwhile, that same 3% conversion eliminates $28.3 million in direct agricultural production and $79–$99 million in total local economic activity when the dairy multiplier is applied. There is no scenario at any conversion percentage where the money that stays in Jerome County from energy development exceeds the money that leaves the local economy through lost agricultural production. The net drain at 3% alone is $62–$88 million per year in lost local economic activity—exported permanently for the 25–30 year life of the project.</w:t>
      </w:r>
    </w:p>
    <w:p>
      <w:r>
        <w:br w:type="page"/>
      </w:r>
    </w:p>
    <w:p>
      <w:pPr>
        <w:pStyle w:val="Heading1"/>
      </w:pPr>
      <w:r>
        <w:rPr>
          <w:rFonts w:ascii="Arial" w:cs="Arial" w:eastAsia="Arial" w:hAnsi="Arial"/>
          <w:sz w:val="24"/>
          <w:szCs w:val="24"/>
        </w:rPr>
        <w:t xml:space="preserve">Table of 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rFonts w:ascii="Arial" w:cs="Arial" w:eastAsia="Arial" w:hAnsi="Arial"/>
          <w:sz w:val="24"/>
          <w:szCs w:val="24"/>
        </w:rPr>
        <w:t xml:space="preserve">I. Jerome County’s Agricultural Economy</w:t>
      </w:r>
    </w:p>
    <w:p>
      <w:pPr>
        <w:pStyle w:val="Heading2"/>
      </w:pPr>
      <w:r>
        <w:rPr>
          <w:rFonts w:ascii="Arial" w:cs="Arial" w:eastAsia="Arial" w:hAnsi="Arial"/>
          <w:sz w:val="24"/>
          <w:szCs w:val="24"/>
        </w:rPr>
        <w:t xml:space="preserve">A. Scale and National Significance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200"/>
        <w:gridCol w:w="3560"/>
      </w:tblGrid>
      <w:tr>
        <w:trPr>
          <w:tblHeader/>
        </w:trPr>
        <w:tc>
          <w:tcPr>
            <w:tcW w:type="dxa" w:w="26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Metric</w:t>
            </w:r>
          </w:p>
        </w:tc>
        <w:tc>
          <w:tcPr>
            <w:tcW w:type="dxa" w:w="32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Value</w:t>
            </w:r>
          </w:p>
        </w:tc>
        <w:tc>
          <w:tcPr>
            <w:tcW w:type="dxa" w:w="35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Ranking / Context</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Total market value of ag products</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$944 million (2022 Census)</w:t>
            </w:r>
          </w:p>
        </w:tc>
        <w:tc>
          <w:tcPr>
            <w:tcW w:type="dxa" w:w="3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4th in Idaho; top 60 nationally</w:t>
            </w:r>
          </w:p>
        </w:tc>
      </w:tr>
      <w:tr>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Annual cow milk sales</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$274.3 million</w:t>
            </w:r>
          </w:p>
        </w:tc>
        <w:tc>
          <w:tcPr>
            <w:tcW w:type="dxa" w:w="3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3rd in Idaho; 16th nationally</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Irrigated cropland</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~157,000 acres</w:t>
            </w:r>
          </w:p>
        </w:tc>
        <w:tc>
          <w:tcPr>
            <w:tcW w:type="dxa" w:w="3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Nearly all in active production</w:t>
            </w:r>
          </w:p>
        </w:tc>
      </w:tr>
      <w:tr>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Primary crops</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Alfalfa hay, silage corn (~45%)</w:t>
            </w:r>
          </w:p>
        </w:tc>
        <w:tc>
          <w:tcPr>
            <w:tcW w:type="dxa" w:w="3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Direct dairy feed supply chain</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Cash rent, irrigated cropland</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$415/acre (2024)</w:t>
            </w:r>
          </w:p>
        </w:tc>
        <w:tc>
          <w:tcPr>
            <w:tcW w:type="dxa" w:w="3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Highest in Idaho</w:t>
            </w:r>
          </w:p>
        </w:tc>
      </w:tr>
      <w:tr>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Agricultural value per acre</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$6,013/acre/year</w:t>
            </w:r>
          </w:p>
        </w:tc>
        <w:tc>
          <w:tcPr>
            <w:tcW w:type="dxa" w:w="3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Calculated: $944M ÷ 157,000</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Soil classification</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Predominantly Class I / Class II</w:t>
            </w:r>
          </w:p>
        </w:tc>
        <w:tc>
          <w:tcPr>
            <w:tcW w:type="dxa" w:w="3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10,000–15,000 years to form</w:t>
            </w:r>
          </w:p>
        </w:tc>
      </w:tr>
      <w:tr>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Water source</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Eastern Snake Plain Aquifer</w:t>
            </w:r>
          </w:p>
        </w:tc>
        <w:tc>
          <w:tcPr>
            <w:tcW w:type="dxa" w:w="3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75,300 acre-foot deficit (IDWR 2025)</w:t>
            </w:r>
          </w:p>
        </w:tc>
      </w:tr>
    </w:tbl>
    <w:p>
      <w:pPr>
        <w:pStyle w:val="Heading2"/>
      </w:pPr>
      <w:r>
        <w:rPr>
          <w:rFonts w:ascii="Arial" w:cs="Arial" w:eastAsia="Arial" w:hAnsi="Arial"/>
          <w:sz w:val="24"/>
          <w:szCs w:val="24"/>
        </w:rPr>
        <w:t xml:space="preserve">B. The Magic Valley Multiplier</w:t>
      </w:r>
    </w:p>
    <w:p>
      <w:pPr>
        <w:spacing w:after="200" w:line="276"/>
      </w:pPr>
      <w:r>
        <w:rPr>
          <w:rFonts w:ascii="Arial" w:cs="Arial" w:eastAsia="Arial" w:hAnsi="Arial"/>
          <w:sz w:val="24"/>
          <w:szCs w:val="24"/>
        </w:rPr>
        <w:t xml:space="preserve">Jerome County is the feed engine for Idaho’s dairy industry. Every dollar of farm-gate revenue generates $2.80–$3.50 in total economic activity through processing, transportation, retail, equipment, and support industries (U of I, BUL1005). Idaho’s dairy sector contributes $7–11 billion annually and supports 33,000–51,000 jobs. The Magic Valley hosts 72% of Idaho’s dairy cows and over 40% of regional jobs are in agribusiness.</w:t>
      </w:r>
    </w:p>
    <w:p>
      <w:r>
        <w:br w:type="page"/>
      </w:r>
    </w:p>
    <w:p>
      <w:pPr>
        <w:pStyle w:val="Heading1"/>
      </w:pPr>
      <w:r>
        <w:rPr>
          <w:rFonts w:ascii="Arial" w:cs="Arial" w:eastAsia="Arial" w:hAnsi="Arial"/>
          <w:sz w:val="24"/>
          <w:szCs w:val="24"/>
        </w:rPr>
        <w:t xml:space="preserve">II. SWIP-N: The Infrastructure Enabling Conversion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00"/>
        <w:gridCol w:w="5860"/>
      </w:tblGrid>
      <w:tr>
        <w:trPr>
          <w:tblHeader/>
        </w:trPr>
        <w:tc>
          <w:tcPr>
            <w:tcW w:type="dxa" w:w="35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Parameter</w:t>
            </w:r>
          </w:p>
        </w:tc>
        <w:tc>
          <w:tcPr>
            <w:tcW w:type="dxa" w:w="58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Detail</w:t>
            </w:r>
          </w:p>
        </w:tc>
      </w:tr>
      <w:tr>
        <w:tc>
          <w:tcPr>
            <w:tcW w:type="dxa" w:w="3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Developer</w:t>
            </w:r>
          </w:p>
        </w:tc>
        <w:tc>
          <w:tcPr>
            <w:tcW w:type="dxa" w:w="58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Great Basin Transmission LLC (LS Power subsidiary)</w:t>
            </w:r>
          </w:p>
        </w:tc>
      </w:tr>
      <w:tr>
        <w:tc>
          <w:tcPr>
            <w:tcW w:type="dxa" w:w="3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Capacity</w:t>
            </w:r>
          </w:p>
        </w:tc>
        <w:tc>
          <w:tcPr>
            <w:tcW w:type="dxa" w:w="58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2,000 MW bidirectional; 500 kV</w:t>
            </w:r>
          </w:p>
        </w:tc>
      </w:tr>
      <w:tr>
        <w:tc>
          <w:tcPr>
            <w:tcW w:type="dxa" w:w="3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Length</w:t>
            </w:r>
          </w:p>
        </w:tc>
        <w:tc>
          <w:tcPr>
            <w:tcW w:type="dxa" w:w="58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285 miles (Robinson Summit, NV to Midpoint, Jerome County)</w:t>
            </w:r>
          </w:p>
        </w:tc>
      </w:tr>
      <w:tr>
        <w:tc>
          <w:tcPr>
            <w:tcW w:type="dxa" w:w="3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Cost</w:t>
            </w:r>
          </w:p>
        </w:tc>
        <w:tc>
          <w:tcPr>
            <w:tcW w:type="dxa" w:w="58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$1.23 billion</w:t>
            </w:r>
          </w:p>
        </w:tc>
      </w:tr>
      <w:tr>
        <w:tc>
          <w:tcPr>
            <w:tcW w:type="dxa" w:w="3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Federal subsidy (DOE)</w:t>
            </w:r>
          </w:p>
        </w:tc>
        <w:tc>
          <w:tcPr>
            <w:tcW w:type="dxa" w:w="58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Up to $331 million</w:t>
            </w:r>
          </w:p>
        </w:tc>
      </w:tr>
      <w:tr>
        <w:tc>
          <w:tcPr>
            <w:tcW w:type="dxa" w:w="3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FERC approval</w:t>
            </w:r>
          </w:p>
        </w:tc>
        <w:tc>
          <w:tcPr>
            <w:tcW w:type="dxa" w:w="58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November 4, 2025</w:t>
            </w:r>
          </w:p>
        </w:tc>
      </w:tr>
      <w:tr>
        <w:tc>
          <w:tcPr>
            <w:tcW w:type="dxa" w:w="3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IPUC CPCN</w:t>
            </w:r>
          </w:p>
        </w:tc>
        <w:tc>
          <w:tcPr>
            <w:tcW w:type="dxa" w:w="58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December 2025</w:t>
            </w:r>
          </w:p>
        </w:tc>
      </w:tr>
      <w:tr>
        <w:tc>
          <w:tcPr>
            <w:tcW w:type="dxa" w:w="3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Idaho Power share</w:t>
            </w:r>
          </w:p>
        </w:tc>
        <w:tc>
          <w:tcPr>
            <w:tcW w:type="dxa" w:w="58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~23% (500 MW, 40-year lease)</w:t>
            </w:r>
          </w:p>
        </w:tc>
      </w:tr>
      <w:tr>
        <w:tc>
          <w:tcPr>
            <w:tcW w:type="dxa" w:w="3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Target completion</w:t>
            </w:r>
          </w:p>
        </w:tc>
        <w:tc>
          <w:tcPr>
            <w:tcW w:type="dxa" w:w="58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2028</w:t>
            </w:r>
          </w:p>
        </w:tc>
      </w:tr>
      <w:tr>
        <w:tc>
          <w:tcPr>
            <w:tcW w:type="dxa" w:w="3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Ratepayer impact</w:t>
            </w:r>
          </w:p>
        </w:tc>
        <w:tc>
          <w:tcPr>
            <w:tcW w:type="dxa" w:w="58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Idaho Power customers bear proportional share of $1.23B</w:t>
            </w:r>
          </w:p>
        </w:tc>
      </w:tr>
    </w:tbl>
    <w:p>
      <w:pPr>
        <w:spacing w:after="200" w:line="276"/>
      </w:pPr>
      <w:r>
        <w:rPr>
          <w:rFonts w:ascii="Arial" w:cs="Arial" w:eastAsia="Arial" w:hAnsi="Arial"/>
          <w:b/>
          <w:bCs/>
          <w:sz w:val="24"/>
          <w:szCs w:val="24"/>
        </w:rPr>
        <w:t xml:space="preserve">The paradox: </w:t>
      </w:r>
      <w:r>
        <w:rPr>
          <w:rFonts w:ascii="Arial" w:cs="Arial" w:eastAsia="Arial" w:hAnsi="Arial"/>
          <w:sz w:val="24"/>
          <w:szCs w:val="24"/>
        </w:rPr>
        <w:t xml:space="preserve">Idaho Power ratepayers—including Jerome County farmers—are paying for the transmission infrastructure that makes conversion of their own farmland profitable for out-of-state developers. SWIP-N transforms the Midpoint substation into a 2,000 MW energy trading hub and every irrigated acre within reach into a development target.</w:t>
      </w:r>
    </w:p>
    <w:p>
      <w:pPr>
        <w:pStyle w:val="Heading2"/>
      </w:pPr>
      <w:r>
        <w:rPr>
          <w:rFonts w:ascii="Arial" w:cs="Arial" w:eastAsia="Arial" w:hAnsi="Arial"/>
          <w:sz w:val="24"/>
          <w:szCs w:val="24"/>
        </w:rPr>
        <w:t xml:space="preserve">B. CAISO and the Export of Idaho Energy</w:t>
      </w:r>
    </w:p>
    <w:p>
      <w:pPr>
        <w:spacing w:after="200" w:line="276"/>
      </w:pPr>
      <w:r>
        <w:rPr>
          <w:rFonts w:ascii="Arial" w:cs="Arial" w:eastAsia="Arial" w:hAnsi="Arial"/>
          <w:sz w:val="24"/>
          <w:szCs w:val="24"/>
        </w:rPr>
        <w:t xml:space="preserve">A critical dimension of SWIP-N is the role of the California Independent System Operator (CAISO). CAISO manages the wholesale electricity market for the majority of California’s grid and is a primary driver of SWIP-N’s economic justification. The 2,000 MW bidirectional capacity exists, in significant part, to export energy generated in Idaho and Nevada to California’s high-price market and to import California solar surplus during peak production hours.</w:t>
      </w:r>
    </w:p>
    <w:p>
      <w:pPr>
        <w:spacing w:after="200" w:line="276"/>
      </w:pPr>
      <w:r>
        <w:rPr>
          <w:rFonts w:ascii="Arial" w:cs="Arial" w:eastAsia="Arial" w:hAnsi="Arial"/>
          <w:b/>
          <w:bCs/>
          <w:sz w:val="24"/>
          <w:szCs w:val="24"/>
        </w:rPr>
        <w:t xml:space="preserve">What this means for Jerome County: </w:t>
      </w:r>
      <w:r>
        <w:rPr>
          <w:rFonts w:ascii="Arial" w:cs="Arial" w:eastAsia="Arial" w:hAnsi="Arial"/>
          <w:sz w:val="24"/>
          <w:szCs w:val="24"/>
        </w:rPr>
        <w:t xml:space="preserve">Energy produced on converted Jerome County farmland will be sold into CAISO’s market at California price signals—not Idaho’s lower wholesale rates. The CAISO day-ahead market regularly clears at $40–$80/MWh, with peaks above $200/MWh during heat events. This price differential is the core economic driver for BESS arbitrage facilities on Idaho farmland: charge from cheap Idaho power or co-located solar, discharge into CAISO’s high-price windows, and capture the spread. The profit flows to out-of-state developers and their institutional shareholders. It does not reduce Idaho Power rates. It does not lower Jerome County energy costs. It exports Idaho’s agricultural land value to serve California’s energy demand.</w:t>
      </w:r>
    </w:p>
    <w:p>
      <w:pPr>
        <w:spacing w:after="200" w:line="276"/>
      </w:pPr>
      <w:r>
        <w:rPr>
          <w:rFonts w:ascii="Arial" w:cs="Arial" w:eastAsia="Arial" w:hAnsi="Arial"/>
          <w:b/>
          <w:bCs/>
          <w:sz w:val="24"/>
          <w:szCs w:val="24"/>
        </w:rPr>
        <w:t xml:space="preserve">The pricing feedback loop: </w:t>
      </w:r>
      <w:r>
        <w:rPr>
          <w:rFonts w:ascii="Arial" w:cs="Arial" w:eastAsia="Arial" w:hAnsi="Arial"/>
          <w:sz w:val="24"/>
          <w:szCs w:val="24"/>
        </w:rPr>
        <w:t xml:space="preserve">As SWIP-N integrates Idaho into the Western energy market, Idaho Power’s rates will increasingly reflect regional pricing dynamics rather than local cost-of-service. Idaho Power’s 7.48% rate increase in 2025 and the 138% increase in irrigation demand charges since 2021 are early indicators. Transmission interconnection with CAISO’s market exposes Idaho ratepayers to price contagion from California’s capacity shortfalls, wildfire-driven outages, and policy-driven plant retirements. Jerome County farmers pay higher rates while their land is converted to generate power exported at a premium to out-of-state buyers.</w:t>
      </w:r>
    </w:p>
    <w:p>
      <w:r>
        <w:br w:type="page"/>
      </w:r>
    </w:p>
    <w:p>
      <w:pPr>
        <w:pStyle w:val="Heading1"/>
      </w:pPr>
      <w:r>
        <w:rPr>
          <w:rFonts w:ascii="Arial" w:cs="Arial" w:eastAsia="Arial" w:hAnsi="Arial"/>
          <w:sz w:val="24"/>
          <w:szCs w:val="24"/>
        </w:rPr>
        <w:t xml:space="preserve">III. Energy Production Economics: Bottom-Up Calculation</w:t>
      </w:r>
    </w:p>
    <w:p>
      <w:pPr>
        <w:pStyle w:val="Heading2"/>
      </w:pPr>
      <w:r>
        <w:rPr>
          <w:rFonts w:ascii="Arial" w:cs="Arial" w:eastAsia="Arial" w:hAnsi="Arial"/>
          <w:sz w:val="24"/>
          <w:szCs w:val="24"/>
        </w:rPr>
        <w:t xml:space="preserve">A. Assumptions (All Documented, All Auditable)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2800"/>
        <w:gridCol w:w="3760"/>
      </w:tblGrid>
      <w:tr>
        <w:trPr>
          <w:tblHeader/>
        </w:trPr>
        <w:tc>
          <w:tcPr>
            <w:tcW w:type="dxa" w:w="28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Assumption</w:t>
            </w:r>
          </w:p>
        </w:tc>
        <w:tc>
          <w:tcPr>
            <w:tcW w:type="dxa" w:w="28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Value</w:t>
            </w:r>
          </w:p>
        </w:tc>
        <w:tc>
          <w:tcPr>
            <w:tcW w:type="dxa" w:w="37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Source</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Solar density</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1 MW per 6 acres (0.167 MW/acre)</w:t>
            </w:r>
          </w:p>
        </w:tc>
        <w:tc>
          <w:tcPr>
            <w:tcW w:type="dxa" w:w="37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NREL utility-scale land use data</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Idaho solar capacity factor</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23%</w:t>
            </w:r>
          </w:p>
        </w:tc>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NREL; southern Idaho average</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BESS co-location rate</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40% of solar MW has co-located 4-hr BESS</w:t>
            </w:r>
          </w:p>
        </w:tc>
        <w:tc>
          <w:tcPr>
            <w:tcW w:type="dxa" w:w="37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Industry average for new projects</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BESS cycles/year</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300 (conservative for 1/day)</w:t>
            </w:r>
          </w:p>
        </w:tc>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Industry operating data</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Wholesale electricity price</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$30–$50/MWh</w:t>
            </w:r>
          </w:p>
        </w:tc>
        <w:tc>
          <w:tcPr>
            <w:tcW w:type="dxa" w:w="37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Western wholesale market range</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Capacity payments</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$50–$100/kW-year</w:t>
            </w:r>
          </w:p>
        </w:tc>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PPA and market rates</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REC price</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$5–$15/MWh</w:t>
            </w:r>
          </w:p>
        </w:tc>
        <w:tc>
          <w:tcPr>
            <w:tcW w:type="dxa" w:w="37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Western REC market</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BESS arbitrage spread</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$30–$80/MWh discharged</w:t>
            </w:r>
          </w:p>
        </w:tc>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CAISO/Western price spread</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Solar capex</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$1.2M/MW installed</w:t>
            </w:r>
          </w:p>
        </w:tc>
        <w:tc>
          <w:tcPr>
            <w:tcW w:type="dxa" w:w="37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2025 utility-scale benchmark</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BESS capex</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$300K/MWh</w:t>
            </w:r>
          </w:p>
        </w:tc>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2025 benchmark</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Federal ITC</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30% of project capex</w:t>
            </w:r>
          </w:p>
        </w:tc>
        <w:tc>
          <w:tcPr>
            <w:tcW w:type="dxa" w:w="37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26 U.S.C. §48</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Lease to landowner</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$500–$1,000/acre/year</w:t>
            </w:r>
          </w:p>
        </w:tc>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Industry range; Idaho est.</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Idaho solar tax</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3.5% of gross solar earnings</w:t>
            </w:r>
          </w:p>
        </w:tc>
        <w:tc>
          <w:tcPr>
            <w:tcW w:type="dxa" w:w="37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Idaho Code §63-602JJ</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Local construction share</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10% of capex (generous)</w:t>
            </w:r>
          </w:p>
        </w:tc>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Most labor/materials imported</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Permanent jobs per facility</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3 per 500-acre facility</w:t>
            </w:r>
          </w:p>
        </w:tc>
        <w:tc>
          <w:tcPr>
            <w:tcW w:type="dxa" w:w="37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NextEra testimony, Jan. 26, 2026</w:t>
            </w:r>
          </w:p>
        </w:tc>
      </w:tr>
    </w:tbl>
    <w:p>
      <w:pPr>
        <w:pStyle w:val="Heading2"/>
      </w:pPr>
      <w:r>
        <w:rPr>
          <w:rFonts w:ascii="Arial" w:cs="Arial" w:eastAsia="Arial" w:hAnsi="Arial"/>
          <w:sz w:val="24"/>
          <w:szCs w:val="24"/>
        </w:rPr>
        <w:t xml:space="preserve">B. Full Revenue Model: 5%, 10%, and 20% Conversion</w:t>
      </w:r>
    </w:p>
    <w:p>
      <w:pPr>
        <w:spacing w:after="200" w:line="276"/>
      </w:pPr>
      <w:r>
        <w:rPr>
          <w:rFonts w:ascii="Arial" w:cs="Arial" w:eastAsia="Arial" w:hAnsi="Arial"/>
          <w:b/>
          <w:bCs/>
          <w:sz w:val="24"/>
          <w:szCs w:val="24"/>
        </w:rPr>
        <w:t xml:space="preserve">NOTE: </w:t>
      </w:r>
      <w:r>
        <w:rPr>
          <w:rFonts w:ascii="Arial" w:cs="Arial" w:eastAsia="Arial" w:hAnsi="Arial"/>
          <w:sz w:val="24"/>
          <w:szCs w:val="24"/>
        </w:rPr>
        <w:t xml:space="preserve">These calculations include EVERY energy revenue stream. The energy side is given the benefit of every reasonable assumption. The agricultural side uses the conservative $944M direct value without inflating for downstream multipliers in the primary comparison.</w:t>
      </w:r>
    </w:p>
    <w:p>
      <w:pPr>
        <w:pStyle w:val="Heading3"/>
      </w:pPr>
      <w:r>
        <w:rPr>
          <w:rFonts w:ascii="Arial" w:cs="Arial" w:eastAsia="Arial" w:hAnsi="Arial"/>
          <w:sz w:val="24"/>
          <w:szCs w:val="24"/>
        </w:rPr>
        <w:t xml:space="preserve">Scenario: 5% Conversion (7,850 acres)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200"/>
        <w:gridCol w:w="2960"/>
      </w:tblGrid>
      <w:tr>
        <w:trPr>
          <w:tblHeader/>
        </w:trPr>
        <w:tc>
          <w:tcPr>
            <w:tcW w:type="dxa" w:w="32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Revenue Line</w:t>
            </w:r>
          </w:p>
        </w:tc>
        <w:tc>
          <w:tcPr>
            <w:tcW w:type="dxa" w:w="32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Annual Amount</w:t>
            </w:r>
          </w:p>
        </w:tc>
        <w:tc>
          <w:tcPr>
            <w:tcW w:type="dxa" w:w="29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Stays in County?</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ENERGY SIDE</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29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Solar capacity generated</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1,308 MW on 7,850 acres</w:t>
            </w:r>
          </w:p>
        </w:tc>
        <w:tc>
          <w:tcPr>
            <w:tcW w:type="dxa" w:w="29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Annual electricity produced</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2.64 million MWh</w:t>
            </w:r>
          </w:p>
        </w:tc>
        <w:tc>
          <w:tcPr>
            <w:tcW w:type="dxa" w:w="29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Wholesale energy revenue</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$79–$132M</w:t>
            </w:r>
          </w:p>
        </w:tc>
        <w:tc>
          <w:tcPr>
            <w:tcW w:type="dxa" w:w="29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NO — developer</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Capacity payments</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$65–$131M</w:t>
            </w:r>
          </w:p>
        </w:tc>
        <w:tc>
          <w:tcPr>
            <w:tcW w:type="dxa" w:w="29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NO — developer</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REC sales</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$13–$40M</w:t>
            </w:r>
          </w:p>
        </w:tc>
        <w:tc>
          <w:tcPr>
            <w:tcW w:type="dxa" w:w="29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NO — developer</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BESS arbitrage revenue (523 MW)</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$19–$50M</w:t>
            </w:r>
          </w:p>
        </w:tc>
        <w:tc>
          <w:tcPr>
            <w:tcW w:type="dxa" w:w="29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NO — developer</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Total developer revenue</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$177–$352M/year</w:t>
            </w:r>
          </w:p>
        </w:tc>
        <w:tc>
          <w:tcPr>
            <w:tcW w:type="dxa" w:w="29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90%+ leaves county</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Federal ITC (one-time)</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$659M</w:t>
            </w:r>
          </w:p>
        </w:tc>
        <w:tc>
          <w:tcPr>
            <w:tcW w:type="dxa" w:w="29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NO — federal tax offset</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Lease payments to landowners</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$3.9–$7.9M</w:t>
            </w:r>
          </w:p>
        </w:tc>
        <w:tc>
          <w:tcPr>
            <w:tcW w:type="dxa" w:w="29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YES</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Idaho solar tax (3.5%)</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$2.8–$4.6M</w:t>
            </w:r>
          </w:p>
        </w:tc>
        <w:tc>
          <w:tcPr>
            <w:tcW w:type="dxa" w:w="29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YES</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Local construction (annualized/25yr)</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$8.8M</w:t>
            </w:r>
          </w:p>
        </w:tc>
        <w:tc>
          <w:tcPr>
            <w:tcW w:type="dxa" w:w="2960"/>
            <w:tcBorders>
              <w:top w:val="single" w:color="CCCCCC" w:sz="1"/>
              <w:left w:val="single" w:color="CCCCCC" w:sz="1"/>
              <w:bottom w:val="single" w:color="CCCCCC" w:sz="1"/>
              <w:right w:val="single" w:color="CCCCCC" w:sz="1"/>
            </w:tcBorders>
            <w:shd w:fill="FFF3CD" w:val="clear"/>
            <w:tcMar>
              <w:top w:type="dxa" w:w="80"/>
              <w:left w:type="dxa" w:w="120"/>
              <w:bottom w:type="dxa" w:w="80"/>
              <w:right w:type="dxa" w:w="120"/>
            </w:tcMar>
          </w:tcPr>
          <w:p>
            <w:r>
              <w:rPr>
                <w:rFonts w:ascii="Arial" w:cs="Arial" w:eastAsia="Arial" w:hAnsi="Arial"/>
                <w:sz w:val="20"/>
                <w:szCs w:val="20"/>
              </w:rPr>
              <w:t xml:space="preserve">YES (temporary)</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Total retained in county</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$15.5–$21.3M/year</w:t>
            </w:r>
          </w:p>
        </w:tc>
        <w:tc>
          <w:tcPr>
            <w:tcW w:type="dxa" w:w="29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YES</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AGRICULTURE LOST</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29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Direct production eliminated</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$47.2M/year</w:t>
            </w:r>
          </w:p>
        </w:tc>
        <w:tc>
          <w:tcPr>
            <w:tcW w:type="dxa" w:w="29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LOST</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With dairy multiplier (2.8–3.5x)</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$132–$165M/year</w:t>
            </w:r>
          </w:p>
        </w:tc>
        <w:tc>
          <w:tcPr>
            <w:tcW w:type="dxa" w:w="29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LOST from local economy</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Agricultural jobs eliminated</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314 positions</w:t>
            </w:r>
          </w:p>
        </w:tc>
        <w:tc>
          <w:tcPr>
            <w:tcW w:type="dxa" w:w="29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LOST</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Energy jobs created</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48 permanent</w:t>
            </w:r>
          </w:p>
        </w:tc>
        <w:tc>
          <w:tcPr>
            <w:tcW w:type="dxa" w:w="29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Created</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NET JOB LOSS</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266 jobs</w:t>
            </w:r>
          </w:p>
        </w:tc>
        <w:tc>
          <w:tcPr>
            <w:tcW w:type="dxa" w:w="29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NET LOSS</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NET REVENUE (county keeps)</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−$31.7M to −$25.9M/year</w:t>
            </w:r>
          </w:p>
        </w:tc>
        <w:tc>
          <w:tcPr>
            <w:tcW w:type="dxa" w:w="29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NET LOSS</w:t>
            </w:r>
          </w:p>
        </w:tc>
      </w:tr>
    </w:tbl>
    <w:p>
      <w:pPr>
        <w:pStyle w:val="Heading3"/>
      </w:pPr>
      <w:r>
        <w:rPr>
          <w:rFonts w:ascii="Arial" w:cs="Arial" w:eastAsia="Arial" w:hAnsi="Arial"/>
          <w:sz w:val="24"/>
          <w:szCs w:val="24"/>
        </w:rPr>
        <w:t xml:space="preserve">Scenario: 10% Conversion (15,700 acres)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200"/>
        <w:gridCol w:w="2960"/>
      </w:tblGrid>
      <w:tr>
        <w:trPr>
          <w:tblHeader/>
        </w:trPr>
        <w:tc>
          <w:tcPr>
            <w:tcW w:type="dxa" w:w="32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Revenue Line</w:t>
            </w:r>
          </w:p>
        </w:tc>
        <w:tc>
          <w:tcPr>
            <w:tcW w:type="dxa" w:w="32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Annual Amount</w:t>
            </w:r>
          </w:p>
        </w:tc>
        <w:tc>
          <w:tcPr>
            <w:tcW w:type="dxa" w:w="29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Stays in County?</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ENERGY SIDE</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29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Solar capacity generated</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2,617 MW on 15,700 acres</w:t>
            </w:r>
          </w:p>
        </w:tc>
        <w:tc>
          <w:tcPr>
            <w:tcW w:type="dxa" w:w="29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Annual electricity produced</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5.27 million MWh</w:t>
            </w:r>
          </w:p>
        </w:tc>
        <w:tc>
          <w:tcPr>
            <w:tcW w:type="dxa" w:w="29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Total developer revenue</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$353–$705M/year</w:t>
            </w:r>
          </w:p>
        </w:tc>
        <w:tc>
          <w:tcPr>
            <w:tcW w:type="dxa" w:w="29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90%+ leaves county</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Federal ITC (one-time)</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$1.32 billion</w:t>
            </w:r>
          </w:p>
        </w:tc>
        <w:tc>
          <w:tcPr>
            <w:tcW w:type="dxa" w:w="29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NO</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Total retained in county</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$31.0–$42.5M/year</w:t>
            </w:r>
          </w:p>
        </w:tc>
        <w:tc>
          <w:tcPr>
            <w:tcW w:type="dxa" w:w="29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YES</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AGRICULTURE LOST</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29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Direct production eliminated</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$94.4M/year</w:t>
            </w:r>
          </w:p>
        </w:tc>
        <w:tc>
          <w:tcPr>
            <w:tcW w:type="dxa" w:w="29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LOST</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With dairy multiplier (2.8–3.5x)</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$264–$330M/year</w:t>
            </w:r>
          </w:p>
        </w:tc>
        <w:tc>
          <w:tcPr>
            <w:tcW w:type="dxa" w:w="29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LOST from local economy</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NET JOB LOSS</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532 jobs</w:t>
            </w:r>
          </w:p>
        </w:tc>
        <w:tc>
          <w:tcPr>
            <w:tcW w:type="dxa" w:w="29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NET LOSS</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NET REVENUE (county keeps)</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−$63.4M to −$51.9M/year</w:t>
            </w:r>
          </w:p>
        </w:tc>
        <w:tc>
          <w:tcPr>
            <w:tcW w:type="dxa" w:w="29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NET LOSS</w:t>
            </w:r>
          </w:p>
        </w:tc>
      </w:tr>
    </w:tbl>
    <w:p>
      <w:pPr>
        <w:pStyle w:val="Heading3"/>
      </w:pPr>
      <w:r>
        <w:rPr>
          <w:rFonts w:ascii="Arial" w:cs="Arial" w:eastAsia="Arial" w:hAnsi="Arial"/>
          <w:sz w:val="24"/>
          <w:szCs w:val="24"/>
        </w:rPr>
        <w:t xml:space="preserve">Scenario: 20% Conversion (31,400 acres)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200"/>
        <w:gridCol w:w="2960"/>
      </w:tblGrid>
      <w:tr>
        <w:trPr>
          <w:tblHeader/>
        </w:trPr>
        <w:tc>
          <w:tcPr>
            <w:tcW w:type="dxa" w:w="32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Revenue Line</w:t>
            </w:r>
          </w:p>
        </w:tc>
        <w:tc>
          <w:tcPr>
            <w:tcW w:type="dxa" w:w="32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Annual Amount</w:t>
            </w:r>
          </w:p>
        </w:tc>
        <w:tc>
          <w:tcPr>
            <w:tcW w:type="dxa" w:w="29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Stays in County?</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ENERGY SIDE</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29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Solar capacity generated</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5,233 MW on 31,400 acres</w:t>
            </w:r>
          </w:p>
        </w:tc>
        <w:tc>
          <w:tcPr>
            <w:tcW w:type="dxa" w:w="29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Annual electricity produced</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10.54 million MWh</w:t>
            </w:r>
          </w:p>
        </w:tc>
        <w:tc>
          <w:tcPr>
            <w:tcW w:type="dxa" w:w="29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Total developer revenue</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$706M–$1.41B/year</w:t>
            </w:r>
          </w:p>
        </w:tc>
        <w:tc>
          <w:tcPr>
            <w:tcW w:type="dxa" w:w="29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90%+ leaves county</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Total retained in county</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$61.9–$85.0M/year</w:t>
            </w:r>
          </w:p>
        </w:tc>
        <w:tc>
          <w:tcPr>
            <w:tcW w:type="dxa" w:w="29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YES</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AGRICULTURE LOST</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29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Direct production eliminated</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$188.8M/year</w:t>
            </w:r>
          </w:p>
        </w:tc>
        <w:tc>
          <w:tcPr>
            <w:tcW w:type="dxa" w:w="29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LOST</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With dairy multiplier</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$529–$661M/year</w:t>
            </w:r>
          </w:p>
        </w:tc>
        <w:tc>
          <w:tcPr>
            <w:tcW w:type="dxa" w:w="29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LOST from local economy</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NET JOB LOSS</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1,067 jobs</w:t>
            </w:r>
          </w:p>
        </w:tc>
        <w:tc>
          <w:tcPr>
            <w:tcW w:type="dxa" w:w="29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NET LOSS</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NET REVENUE (county keeps)</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−$126.9M to −$103.8M/year</w:t>
            </w:r>
          </w:p>
        </w:tc>
        <w:tc>
          <w:tcPr>
            <w:tcW w:type="dxa" w:w="29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NET LOSS</w:t>
            </w:r>
          </w:p>
        </w:tc>
      </w:tr>
    </w:tbl>
    <w:p>
      <w:pPr>
        <w:pStyle w:val="Heading2"/>
      </w:pPr>
      <w:r>
        <w:rPr>
          <w:rFonts w:ascii="Arial" w:cs="Arial" w:eastAsia="Arial" w:hAnsi="Arial"/>
          <w:sz w:val="24"/>
          <w:szCs w:val="24"/>
        </w:rPr>
        <w:t xml:space="preserve">C. The Break-Even Test</w:t>
      </w:r>
    </w:p>
    <w:p>
      <w:pPr>
        <w:spacing w:after="200" w:line="276"/>
      </w:pPr>
      <w:r>
        <w:rPr>
          <w:rFonts w:ascii="Arial" w:cs="Arial" w:eastAsia="Arial" w:hAnsi="Arial"/>
          <w:sz w:val="24"/>
          <w:szCs w:val="24"/>
        </w:rPr>
        <w:t xml:space="preserve">For energy conversion to match agriculture’s local economic value, the combined lease payments and solar tax flowing to the county would need to equal the agricultural production value of $6,013 per acre per year. At the most optimistic energy assumptions ($1,000/acre lease + $588/acre solar tax equivalent), energy returns $1,588 per acre per year to the local economy. Agriculture returns $6,013. Energy would need to pay 3.8 times current rates to break even. No energy lease or tax structure currently in existence closes this gap.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2200"/>
        <w:gridCol w:w="2600"/>
        <w:gridCol w:w="1960"/>
      </w:tblGrid>
      <w:tr>
        <w:trPr>
          <w:tblHeader/>
        </w:trPr>
        <w:tc>
          <w:tcPr>
            <w:tcW w:type="dxa" w:w="26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Per-Acre Annual Comparison</w:t>
            </w:r>
          </w:p>
        </w:tc>
        <w:tc>
          <w:tcPr>
            <w:tcW w:type="dxa" w:w="22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Agriculture</w:t>
            </w:r>
          </w:p>
        </w:tc>
        <w:tc>
          <w:tcPr>
            <w:tcW w:type="dxa" w:w="26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Energy (best case)</w:t>
            </w:r>
          </w:p>
        </w:tc>
        <w:tc>
          <w:tcPr>
            <w:tcW w:type="dxa" w:w="19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Ratio</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Production/revenue value</w:t>
            </w:r>
          </w:p>
        </w:tc>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$6,013</w:t>
            </w:r>
          </w:p>
        </w:tc>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$1,588 (retained locally)</w:t>
            </w:r>
          </w:p>
        </w:tc>
        <w:tc>
          <w:tcPr>
            <w:tcW w:type="dxa" w:w="19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3.8:1 agriculture</w:t>
            </w:r>
          </w:p>
        </w:tc>
      </w:tr>
      <w:tr>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Jobs per 1,000 acres</w:t>
            </w:r>
          </w:p>
        </w:tc>
        <w:tc>
          <w:tcPr>
            <w:tcW w:type="dxa" w:w="2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40+</w:t>
            </w:r>
          </w:p>
        </w:tc>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3–6</w:t>
            </w:r>
          </w:p>
        </w:tc>
        <w:tc>
          <w:tcPr>
            <w:tcW w:type="dxa" w:w="19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7–13:1 agriculture</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Economic multiplier</w:t>
            </w:r>
          </w:p>
        </w:tc>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2.8–3.5x local</w:t>
            </w:r>
          </w:p>
        </w:tc>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~1.1x local</w:t>
            </w:r>
          </w:p>
        </w:tc>
        <w:tc>
          <w:tcPr>
            <w:tcW w:type="dxa" w:w="19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2.5–3.2:1 agriculture</w:t>
            </w:r>
          </w:p>
        </w:tc>
      </w:tr>
      <w:tr>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Revenue stability</w:t>
            </w:r>
          </w:p>
        </w:tc>
        <w:tc>
          <w:tcPr>
            <w:tcW w:type="dxa" w:w="2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Recession-resistant</w:t>
            </w:r>
          </w:p>
        </w:tc>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Market/subsidy dependent</w:t>
            </w:r>
          </w:p>
        </w:tc>
        <w:tc>
          <w:tcPr>
            <w:tcW w:type="dxa" w:w="19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Agriculture</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Duration</w:t>
            </w:r>
          </w:p>
        </w:tc>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Perpetual (with soil)</w:t>
            </w:r>
          </w:p>
        </w:tc>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20–30 year project life</w:t>
            </w:r>
          </w:p>
        </w:tc>
        <w:tc>
          <w:tcPr>
            <w:tcW w:type="dxa" w:w="19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Agriculture</w:t>
            </w:r>
          </w:p>
        </w:tc>
      </w:tr>
      <w:tr>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Reversibility</w:t>
            </w:r>
          </w:p>
        </w:tc>
        <w:tc>
          <w:tcPr>
            <w:tcW w:type="dxa" w:w="2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Continuous</w:t>
            </w:r>
          </w:p>
        </w:tc>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18–30 years to permanent damage</w:t>
            </w:r>
          </w:p>
        </w:tc>
        <w:tc>
          <w:tcPr>
            <w:tcW w:type="dxa" w:w="19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Agriculture</w:t>
            </w:r>
          </w:p>
        </w:tc>
      </w:tr>
    </w:tbl>
    <w:p>
      <w:r>
        <w:br w:type="page"/>
      </w:r>
    </w:p>
    <w:p>
      <w:pPr>
        <w:pStyle w:val="Heading1"/>
      </w:pPr>
      <w:r>
        <w:rPr>
          <w:rFonts w:ascii="Arial" w:cs="Arial" w:eastAsia="Arial" w:hAnsi="Arial"/>
          <w:sz w:val="24"/>
          <w:szCs w:val="24"/>
        </w:rPr>
        <w:t xml:space="preserve">IV. Projected Conversion: What Is Actually Coming</w:t>
      </w:r>
    </w:p>
    <w:p>
      <w:pPr>
        <w:pStyle w:val="Heading2"/>
      </w:pPr>
      <w:r>
        <w:rPr>
          <w:rFonts w:ascii="Arial" w:cs="Arial" w:eastAsia="Arial" w:hAnsi="Arial"/>
          <w:sz w:val="24"/>
          <w:szCs w:val="24"/>
        </w:rPr>
        <w:t xml:space="preserve">A. Acres-to-Megawatt Conversion Reference</w:t>
      </w:r>
    </w:p>
    <w:p>
      <w:pPr>
        <w:spacing w:after="200" w:line="276"/>
      </w:pPr>
      <w:r>
        <w:rPr>
          <w:rFonts w:ascii="Arial" w:cs="Arial" w:eastAsia="Arial" w:hAnsi="Arial"/>
          <w:sz w:val="24"/>
          <w:szCs w:val="24"/>
        </w:rPr>
        <w:t xml:space="preserve">Understanding the physical scale of energy development requires translating megawatts into acres. The following table provides the standard conversion factors used throughout this analysis, benchmarked against national data.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2600"/>
        <w:gridCol w:w="3560"/>
      </w:tblGrid>
      <w:tr>
        <w:trPr>
          <w:tblHeader/>
        </w:trPr>
        <w:tc>
          <w:tcPr>
            <w:tcW w:type="dxa" w:w="32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Parameter</w:t>
            </w:r>
          </w:p>
        </w:tc>
        <w:tc>
          <w:tcPr>
            <w:tcW w:type="dxa" w:w="26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Value</w:t>
            </w:r>
          </w:p>
        </w:tc>
        <w:tc>
          <w:tcPr>
            <w:tcW w:type="dxa" w:w="35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Source</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NREL direct land use (capacity-weighted avg)</w:t>
            </w:r>
          </w:p>
        </w:tc>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7.3 acres/MWac</w:t>
            </w:r>
          </w:p>
        </w:tc>
        <w:tc>
          <w:tcPr>
            <w:tcW w:type="dxa" w:w="3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LBNL, Land Requirements for Utility-Scale PV</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NREL total area (capacity-weighted avg)</w:t>
            </w:r>
          </w:p>
        </w:tc>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8.9 acres/MWac</w:t>
            </w:r>
          </w:p>
        </w:tc>
        <w:tc>
          <w:tcPr>
            <w:tcW w:type="dxa" w:w="3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LBNL, Land Requirements for Utility-Scale PV</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Industry common estimate (fixed-tilt)</w:t>
            </w:r>
          </w:p>
        </w:tc>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5–7 acres/MW</w:t>
            </w:r>
          </w:p>
        </w:tc>
        <w:tc>
          <w:tcPr>
            <w:tcW w:type="dxa" w:w="3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SEIA; NREL utility-scale land use data</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Tracking systems (higher density)</w:t>
            </w:r>
          </w:p>
        </w:tc>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4.2 acres/MWdc</w:t>
            </w:r>
          </w:p>
        </w:tc>
        <w:tc>
          <w:tcPr>
            <w:tcW w:type="dxa" w:w="3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LBNL; 43% improvement 2011–2019</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This analysis (conservative mid-range)</w:t>
            </w:r>
          </w:p>
        </w:tc>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6 acres/MW (0.167 MW/acre)</w:t>
            </w:r>
          </w:p>
        </w:tc>
        <w:tc>
          <w:tcPr>
            <w:tcW w:type="dxa" w:w="3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NREL mid-range for southern Idaho</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National median project size</w:t>
            </w:r>
          </w:p>
        </w:tc>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5 MWac (most plants ≤5 MW)</w:t>
            </w:r>
          </w:p>
        </w:tc>
        <w:tc>
          <w:tcPr>
            <w:tcW w:type="dxa" w:w="3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EIA; 2024 data update</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Large utility-scale project range</w:t>
            </w:r>
          </w:p>
        </w:tc>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200–1,000+ MW</w:t>
            </w:r>
          </w:p>
        </w:tc>
        <w:tc>
          <w:tcPr>
            <w:tcW w:type="dxa" w:w="3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Developer filings; interconnection queues</w:t>
            </w:r>
          </w:p>
        </w:tc>
      </w:tr>
    </w:tbl>
    <w:p>
      <w:pPr>
        <w:spacing w:after="200" w:line="276"/>
      </w:pPr>
      <w:r>
        <w:rPr>
          <w:rFonts w:ascii="Arial" w:cs="Arial" w:eastAsia="Arial" w:hAnsi="Arial"/>
          <w:b/>
          <w:bCs/>
          <w:sz w:val="24"/>
          <w:szCs w:val="24"/>
        </w:rPr>
        <w:t xml:space="preserve">What these numbers mean for Jerome County: </w:t>
      </w:r>
      <w:r>
        <w:rPr>
          <w:rFonts w:ascii="Arial" w:cs="Arial" w:eastAsia="Arial" w:hAnsi="Arial"/>
          <w:sz w:val="24"/>
          <w:szCs w:val="24"/>
        </w:rPr>
        <w:t xml:space="preserve">At 6 acres per MW, Jerome County’s 157,000 irrigated acres could theoretically host 26,167 MW of solar capacity. At 1% conversion (1,570 acres), that is 262 MW. At 5% (7,850 acres), 1,308 MW. At 10% (15,700 acres), 2,617 MW. The scale of what is proposed is not hypothetical—it is documented in filings already targeting this county.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400"/>
        <w:gridCol w:w="2000"/>
        <w:gridCol w:w="2400"/>
        <w:gridCol w:w="2360"/>
      </w:tblGrid>
      <w:tr>
        <w:trPr>
          <w:tblHeader/>
        </w:trPr>
        <w:tc>
          <w:tcPr>
            <w:tcW w:type="dxa" w:w="12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Conversion %</w:t>
            </w:r>
          </w:p>
        </w:tc>
        <w:tc>
          <w:tcPr>
            <w:tcW w:type="dxa" w:w="1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Acres Converted</w:t>
            </w:r>
          </w:p>
        </w:tc>
        <w:tc>
          <w:tcPr>
            <w:tcW w:type="dxa" w:w="20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MW Capacity (at 6 ac/MW)</w:t>
            </w:r>
          </w:p>
        </w:tc>
        <w:tc>
          <w:tcPr>
            <w:tcW w:type="dxa" w:w="2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Equivalent to</w:t>
            </w:r>
          </w:p>
        </w:tc>
        <w:tc>
          <w:tcPr>
            <w:tcW w:type="dxa" w:w="23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Annual Ag Production Lost</w:t>
            </w:r>
          </w:p>
        </w:tc>
      </w:tr>
      <w:tr>
        <w:tc>
          <w:tcPr>
            <w:tcW w:type="dxa" w:w="1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1%</w:t>
            </w:r>
          </w:p>
        </w:tc>
        <w:tc>
          <w:tcPr>
            <w:tcW w:type="dxa" w:w="1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1,570</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262 MW</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~1 large utility-scale project</w:t>
            </w:r>
          </w:p>
        </w:tc>
        <w:tc>
          <w:tcPr>
            <w:tcW w:type="dxa" w:w="2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$9.4M</w:t>
            </w:r>
          </w:p>
        </w:tc>
      </w:tr>
      <w:tr>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3%</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4,710</w:t>
            </w:r>
          </w:p>
        </w:tc>
        <w:tc>
          <w:tcPr>
            <w:tcW w:type="dxa" w:w="2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785 MW</w:t>
            </w:r>
          </w:p>
        </w:tc>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~2 large projects</w:t>
            </w:r>
          </w:p>
        </w:tc>
        <w:tc>
          <w:tcPr>
            <w:tcW w:type="dxa" w:w="2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$28.3M</w:t>
            </w:r>
          </w:p>
        </w:tc>
      </w:tr>
      <w:tr>
        <w:tc>
          <w:tcPr>
            <w:tcW w:type="dxa" w:w="1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5%</w:t>
            </w:r>
          </w:p>
        </w:tc>
        <w:tc>
          <w:tcPr>
            <w:tcW w:type="dxa" w:w="1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7,850</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1,308 MW</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~3 large projects</w:t>
            </w:r>
          </w:p>
        </w:tc>
        <w:tc>
          <w:tcPr>
            <w:tcW w:type="dxa" w:w="2360"/>
            <w:tcBorders>
              <w:top w:val="single" w:color="CCCCCC" w:sz="1"/>
              <w:left w:val="single" w:color="CCCCCC" w:sz="1"/>
              <w:bottom w:val="single" w:color="CCCCCC" w:sz="1"/>
              <w:right w:val="single" w:color="CCCCCC" w:sz="1"/>
            </w:tcBorders>
            <w:shd w:fill="FFF3CD" w:val="clear"/>
            <w:tcMar>
              <w:top w:type="dxa" w:w="80"/>
              <w:left w:type="dxa" w:w="120"/>
              <w:bottom w:type="dxa" w:w="80"/>
              <w:right w:type="dxa" w:w="120"/>
            </w:tcMar>
          </w:tcPr>
          <w:p>
            <w:r>
              <w:rPr>
                <w:rFonts w:ascii="Arial" w:cs="Arial" w:eastAsia="Arial" w:hAnsi="Arial"/>
                <w:sz w:val="20"/>
                <w:szCs w:val="20"/>
              </w:rPr>
              <w:t xml:space="preserve">$47.2M</w:t>
            </w:r>
          </w:p>
        </w:tc>
      </w:tr>
      <w:tr>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7%</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10,990</w:t>
            </w:r>
          </w:p>
        </w:tc>
        <w:tc>
          <w:tcPr>
            <w:tcW w:type="dxa" w:w="2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1,832 MW</w:t>
            </w:r>
          </w:p>
        </w:tc>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~4 large projects</w:t>
            </w:r>
          </w:p>
        </w:tc>
        <w:tc>
          <w:tcPr>
            <w:tcW w:type="dxa" w:w="2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$66.1M</w:t>
            </w:r>
          </w:p>
        </w:tc>
      </w:tr>
      <w:tr>
        <w:tc>
          <w:tcPr>
            <w:tcW w:type="dxa" w:w="1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10%</w:t>
            </w:r>
          </w:p>
        </w:tc>
        <w:tc>
          <w:tcPr>
            <w:tcW w:type="dxa" w:w="1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15,700</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2,617 MW</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~5–6 large projects</w:t>
            </w:r>
          </w:p>
        </w:tc>
        <w:tc>
          <w:tcPr>
            <w:tcW w:type="dxa" w:w="23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$94.4M</w:t>
            </w:r>
          </w:p>
        </w:tc>
      </w:tr>
      <w:tr>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20%</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31,400</w:t>
            </w:r>
          </w:p>
        </w:tc>
        <w:tc>
          <w:tcPr>
            <w:tcW w:type="dxa" w:w="2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5,233 MW</w:t>
            </w:r>
          </w:p>
        </w:tc>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~10–12 large projects</w:t>
            </w:r>
          </w:p>
        </w:tc>
        <w:tc>
          <w:tcPr>
            <w:tcW w:type="dxa" w:w="23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$188.8M</w:t>
            </w:r>
          </w:p>
        </w:tc>
      </w:tr>
    </w:tbl>
    <w:p>
      <w:pPr>
        <w:pStyle w:val="Heading2"/>
      </w:pPr>
      <w:r>
        <w:rPr>
          <w:rFonts w:ascii="Arial" w:cs="Arial" w:eastAsia="Arial" w:hAnsi="Arial"/>
          <w:sz w:val="24"/>
          <w:szCs w:val="24"/>
        </w:rPr>
        <w:t xml:space="preserve">B. What Is Already in the Pipeline</w:t>
      </w:r>
    </w:p>
    <w:p>
      <w:pPr>
        <w:spacing w:after="200" w:line="276"/>
      </w:pPr>
      <w:r>
        <w:rPr>
          <w:rFonts w:ascii="Arial" w:cs="Arial" w:eastAsia="Arial" w:hAnsi="Arial"/>
          <w:b/>
          <w:bCs/>
          <w:sz w:val="24"/>
          <w:szCs w:val="24"/>
        </w:rPr>
        <w:t xml:space="preserve">The 4–7% conversion scenario is not a forecast—it is a description of projects already targeting Jerome County and the Midpoint substation.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400"/>
        <w:gridCol w:w="1800"/>
        <w:gridCol w:w="1600"/>
        <w:gridCol w:w="2360"/>
      </w:tblGrid>
      <w:tr>
        <w:trPr>
          <w:tblHeader/>
        </w:trPr>
        <w:tc>
          <w:tcPr>
            <w:tcW w:type="dxa" w:w="22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Project</w:t>
            </w:r>
          </w:p>
        </w:tc>
        <w:tc>
          <w:tcPr>
            <w:tcW w:type="dxa" w:w="1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Capacity</w:t>
            </w:r>
          </w:p>
        </w:tc>
        <w:tc>
          <w:tcPr>
            <w:tcW w:type="dxa" w:w="18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Acreage</w:t>
            </w:r>
          </w:p>
        </w:tc>
        <w:tc>
          <w:tcPr>
            <w:tcW w:type="dxa" w:w="16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Developer</w:t>
            </w:r>
          </w:p>
        </w:tc>
        <w:tc>
          <w:tcPr>
            <w:tcW w:type="dxa" w:w="23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Status</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Magic Valley Energy (3 solar projects)</w:t>
            </w:r>
          </w:p>
        </w:tc>
        <w:tc>
          <w:tcPr>
            <w:tcW w:type="dxa" w:w="1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1,000+ MW</w:t>
            </w:r>
          </w:p>
        </w:tc>
        <w:tc>
          <w:tcPr>
            <w:tcW w:type="dxa" w:w="1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~10,000 acres</w:t>
            </w:r>
          </w:p>
        </w:tc>
        <w:tc>
          <w:tcPr>
            <w:tcW w:type="dxa" w:w="1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LS Power / GBT</w:t>
            </w:r>
          </w:p>
        </w:tc>
        <w:tc>
          <w:tcPr>
            <w:tcW w:type="dxa" w:w="2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Plan of development submitted to BLM (2020/2022)</w:t>
            </w:r>
          </w:p>
        </w:tc>
      </w:tr>
      <w:tr>
        <w:tc>
          <w:tcPr>
            <w:tcW w:type="dxa" w:w="2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Snake River Energy Solar</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400 MW</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~4,600 acres</w:t>
            </w:r>
          </w:p>
        </w:tc>
        <w:tc>
          <w:tcPr>
            <w:tcW w:type="dxa" w:w="1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Developer TBD</w:t>
            </w:r>
          </w:p>
        </w:tc>
        <w:tc>
          <w:tcPr>
            <w:tcW w:type="dxa" w:w="2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BLM scoping; paused (Jan. 2025 exec. order)</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Taurus Wind (shared BESS + transmission)</w:t>
            </w:r>
          </w:p>
        </w:tc>
        <w:tc>
          <w:tcPr>
            <w:tcW w:type="dxa" w:w="1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500 MW + 550 MW BESS</w:t>
            </w:r>
          </w:p>
        </w:tc>
        <w:tc>
          <w:tcPr>
            <w:tcW w:type="dxa" w:w="1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Part of 53,000-acre BLM area</w:t>
            </w:r>
          </w:p>
        </w:tc>
        <w:tc>
          <w:tcPr>
            <w:tcW w:type="dxa" w:w="1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Developer TBD</w:t>
            </w:r>
          </w:p>
        </w:tc>
        <w:tc>
          <w:tcPr>
            <w:tcW w:type="dxa" w:w="2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BLM scoping; paused</w:t>
            </w:r>
          </w:p>
        </w:tc>
      </w:tr>
      <w:tr>
        <w:tc>
          <w:tcPr>
            <w:tcW w:type="dxa" w:w="2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MPSN 500kV interconnection queue</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1,050 MW</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TBD</w:t>
            </w:r>
          </w:p>
        </w:tc>
        <w:tc>
          <w:tcPr>
            <w:tcW w:type="dxa" w:w="1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Queue applicant</w:t>
            </w:r>
          </w:p>
        </w:tc>
        <w:tc>
          <w:tcPr>
            <w:tcW w:type="dxa" w:w="2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Idaho Power LGIP; target 2028</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MPSN 345kV interconnection queue</w:t>
            </w:r>
          </w:p>
        </w:tc>
        <w:tc>
          <w:tcPr>
            <w:tcW w:type="dxa" w:w="1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1,050 MW</w:t>
            </w:r>
          </w:p>
        </w:tc>
        <w:tc>
          <w:tcPr>
            <w:tcW w:type="dxa" w:w="1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TBD</w:t>
            </w:r>
          </w:p>
        </w:tc>
        <w:tc>
          <w:tcPr>
            <w:tcW w:type="dxa" w:w="1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Queue applicant</w:t>
            </w:r>
          </w:p>
        </w:tc>
        <w:tc>
          <w:tcPr>
            <w:tcW w:type="dxa" w:w="2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Idaho Power LGIP; target 2028</w:t>
            </w:r>
          </w:p>
        </w:tc>
      </w:tr>
      <w:tr>
        <w:tc>
          <w:tcPr>
            <w:tcW w:type="dxa" w:w="2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Known pipeline total</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4,000+ MW</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14,600+ acres (known)</w:t>
            </w:r>
          </w:p>
        </w:tc>
        <w:tc>
          <w:tcPr>
            <w:tcW w:type="dxa" w:w="1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2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
            </w:r>
          </w:p>
        </w:tc>
      </w:tr>
    </w:tbl>
    <w:p>
      <w:pPr>
        <w:spacing w:after="200" w:line="276"/>
      </w:pPr>
      <w:r>
        <w:rPr>
          <w:rFonts w:ascii="Arial" w:cs="Arial" w:eastAsia="Arial" w:hAnsi="Arial"/>
          <w:b/>
          <w:bCs/>
          <w:sz w:val="24"/>
          <w:szCs w:val="24"/>
        </w:rPr>
        <w:t xml:space="preserve">14,600+ acres of known project area = 9.3% of Jerome County’s irrigated land—already in the development pipeline. </w:t>
      </w:r>
      <w:r>
        <w:rPr>
          <w:rFonts w:ascii="Arial" w:cs="Arial" w:eastAsia="Arial" w:hAnsi="Arial"/>
          <w:sz w:val="24"/>
          <w:szCs w:val="24"/>
        </w:rPr>
        <w:t xml:space="preserve">Even with the January 2025 executive order pausing BLM projects on federal land, the private-land projects and interconnection queue entries remain active. The 4–7% estimate for 5-year conversion without protections is conservative—it assumes delays, permitting friction, and some project attrition. The full pipeline exceeds it.</w:t>
      </w:r>
    </w:p>
    <w:p>
      <w:pPr>
        <w:pStyle w:val="Heading2"/>
      </w:pPr>
      <w:r>
        <w:rPr>
          <w:rFonts w:ascii="Arial" w:cs="Arial" w:eastAsia="Arial" w:hAnsi="Arial"/>
          <w:sz w:val="24"/>
          <w:szCs w:val="24"/>
        </w:rPr>
        <w:t xml:space="preserve">C. Comparison to Other States</w:t>
      </w:r>
    </w:p>
    <w:p>
      <w:pPr>
        <w:spacing w:after="200" w:line="276"/>
      </w:pPr>
      <w:r>
        <w:rPr>
          <w:rFonts w:ascii="Arial" w:cs="Arial" w:eastAsia="Arial" w:hAnsi="Arial"/>
          <w:sz w:val="24"/>
          <w:szCs w:val="24"/>
        </w:rPr>
        <w:t xml:space="preserve">Jerome County is not the first agricultural county to face this pressure. National data shows what happens when transmission infrastructure opens farmland to energy development without adequate protections.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2200"/>
        <w:gridCol w:w="2600"/>
        <w:gridCol w:w="2360"/>
      </w:tblGrid>
      <w:tr>
        <w:trPr>
          <w:tblHeader/>
        </w:trPr>
        <w:tc>
          <w:tcPr>
            <w:tcW w:type="dxa" w:w="22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Jurisdiction</w:t>
            </w:r>
          </w:p>
        </w:tc>
        <w:tc>
          <w:tcPr>
            <w:tcW w:type="dxa" w:w="22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Conversion Rate</w:t>
            </w:r>
          </w:p>
        </w:tc>
        <w:tc>
          <w:tcPr>
            <w:tcW w:type="dxa" w:w="26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Context</w:t>
            </w:r>
          </w:p>
        </w:tc>
        <w:tc>
          <w:tcPr>
            <w:tcW w:type="dxa" w:w="23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Source</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Pulaski County, IN</w:t>
            </w:r>
          </w:p>
        </w:tc>
        <w:tc>
          <w:tcPr>
            <w:tcW w:type="dxa" w:w="220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12% under contract</w:t>
            </w:r>
          </w:p>
        </w:tc>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Prime farmland; near transmission hub</w:t>
            </w:r>
          </w:p>
        </w:tc>
        <w:tc>
          <w:tcPr>
            <w:tcW w:type="dxa" w:w="2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Reuters investigation (2023)</w:t>
            </w:r>
          </w:p>
        </w:tc>
      </w:tr>
      <w:tr>
        <w:tc>
          <w:tcPr>
            <w:tcW w:type="dxa" w:w="2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Starke County, IN</w:t>
            </w:r>
          </w:p>
        </w:tc>
        <w:tc>
          <w:tcPr>
            <w:tcW w:type="dxa" w:w="220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9% under contract</w:t>
            </w:r>
          </w:p>
        </w:tc>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Same corridor as Pulaski</w:t>
            </w:r>
          </w:p>
        </w:tc>
        <w:tc>
          <w:tcPr>
            <w:tcW w:type="dxa" w:w="2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Reuters (2023)</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Jasper County, IN</w:t>
            </w:r>
          </w:p>
        </w:tc>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4% under contract</w:t>
            </w:r>
          </w:p>
        </w:tc>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Same corridor; lower density</w:t>
            </w:r>
          </w:p>
        </w:tc>
        <w:tc>
          <w:tcPr>
            <w:tcW w:type="dxa" w:w="2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Reuters (2023)</w:t>
            </w:r>
          </w:p>
        </w:tc>
      </w:tr>
      <w:tr>
        <w:tc>
          <w:tcPr>
            <w:tcW w:type="dxa" w:w="2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United States total</w:t>
            </w:r>
          </w:p>
        </w:tc>
        <w:tc>
          <w:tcPr>
            <w:tcW w:type="dxa" w:w="2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0.14% (1.25M acres)</w:t>
            </w:r>
          </w:p>
        </w:tc>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879 million total acres</w:t>
            </w:r>
          </w:p>
        </w:tc>
        <w:tc>
          <w:tcPr>
            <w:tcW w:type="dxa" w:w="2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USDA; AFT analysis</w:t>
            </w:r>
          </w:p>
        </w:tc>
      </w:tr>
      <w:tr>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DOE 2050 projection</w:t>
            </w:r>
          </w:p>
        </w:tc>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10.4 million acres needed</w:t>
            </w:r>
          </w:p>
        </w:tc>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Decarbonized electric sector target</w:t>
            </w:r>
          </w:p>
        </w:tc>
        <w:tc>
          <w:tcPr>
            <w:tcW w:type="dxa" w:w="2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U.S. DOE</w:t>
            </w:r>
          </w:p>
        </w:tc>
      </w:tr>
      <w:tr>
        <w:tc>
          <w:tcPr>
            <w:tcW w:type="dxa" w:w="2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AFT finding</w:t>
            </w:r>
          </w:p>
        </w:tc>
        <w:tc>
          <w:tcPr>
            <w:tcW w:type="dxa" w:w="2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83% of new solar on farmland</w:t>
            </w:r>
          </w:p>
        </w:tc>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Without policy intervention</w:t>
            </w:r>
          </w:p>
        </w:tc>
        <w:tc>
          <w:tcPr>
            <w:tcW w:type="dxa" w:w="2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American Farmland Trust</w:t>
            </w:r>
          </w:p>
        </w:tc>
      </w:tr>
    </w:tbl>
    <w:p>
      <w:pPr>
        <w:spacing w:after="200" w:line="276"/>
      </w:pPr>
      <w:r>
        <w:rPr>
          <w:rFonts w:ascii="Arial" w:cs="Arial" w:eastAsia="Arial" w:hAnsi="Arial"/>
          <w:b/>
          <w:bCs/>
          <w:sz w:val="24"/>
          <w:szCs w:val="24"/>
        </w:rPr>
        <w:t xml:space="preserve">The Indiana pattern is the warning: </w:t>
      </w:r>
      <w:r>
        <w:rPr>
          <w:rFonts w:ascii="Arial" w:cs="Arial" w:eastAsia="Arial" w:hAnsi="Arial"/>
          <w:sz w:val="24"/>
          <w:szCs w:val="24"/>
        </w:rPr>
        <w:t xml:space="preserve">Pulaski, Starke, and Jasper counties in Indiana experienced 4–12% conversion rates within a few years of major transmission and developer interest. Those counties had similar characteristics to Jerome County: flat terrain, productive farmland, grid proximity, and initially permissive local regulation. Jerome County’s Midpoint substation makes it an even higher-value target because it is the terminus of a $1.23 billion, 2,000 MW interstate transmission line—not just a local grid connection.</w:t>
      </w:r>
    </w:p>
    <w:p>
      <w:pPr>
        <w:pStyle w:val="Heading2"/>
      </w:pPr>
      <w:r>
        <w:rPr>
          <w:rFonts w:ascii="Arial" w:cs="Arial" w:eastAsia="Arial" w:hAnsi="Arial"/>
          <w:sz w:val="24"/>
          <w:szCs w:val="24"/>
        </w:rPr>
        <w:t xml:space="preserve">D. Why Jerome County Is a National-Level Target</w:t>
      </w:r>
    </w:p>
    <w:p>
      <w:pPr>
        <w:spacing w:after="200" w:line="276"/>
      </w:pPr>
      <w:r>
        <w:rPr>
          <w:rFonts w:ascii="Arial" w:cs="Arial" w:eastAsia="Arial" w:hAnsi="Arial"/>
          <w:sz w:val="24"/>
          <w:szCs w:val="24"/>
        </w:rPr>
        <w:t xml:space="preserve">Solar development is coming to southern Idaho with or without SWIP-N. Idaho Power’s 2025 IRP projects a 50–75% capacity increase need, driven by data center load growth and regional demand. The solar resource in southern Idaho (23% capacity factor) is strong by national standards. But SWIP-N and the Midpoint substation transform Jerome County from one solar target among many into a nationally significant energy trading hub.</w:t>
      </w:r>
    </w:p>
    <w:p>
      <w:pPr>
        <w:spacing w:after="200" w:line="276"/>
      </w:pPr>
      <w:r>
        <w:rPr>
          <w:rFonts w:ascii="Arial" w:cs="Arial" w:eastAsia="Arial" w:hAnsi="Arial"/>
          <w:b/>
          <w:bCs/>
          <w:sz w:val="24"/>
          <w:szCs w:val="24"/>
        </w:rPr>
        <w:t xml:space="preserve">What makes Midpoint exceptional:</w:t>
      </w:r>
    </w:p>
    <w:p>
      <w:pPr>
        <w:spacing w:after="200" w:line="276"/>
      </w:pPr>
      <w:r>
        <w:rPr>
          <w:rFonts w:ascii="Arial" w:cs="Arial" w:eastAsia="Arial" w:hAnsi="Arial"/>
          <w:b/>
          <w:bCs/>
          <w:sz w:val="24"/>
          <w:szCs w:val="24"/>
        </w:rPr>
        <w:t xml:space="preserve">1. Terminus of $1.23B interstate transmission: </w:t>
      </w:r>
      <w:r>
        <w:rPr>
          <w:rFonts w:ascii="Arial" w:cs="Arial" w:eastAsia="Arial" w:hAnsi="Arial"/>
          <w:sz w:val="24"/>
          <w:szCs w:val="24"/>
        </w:rPr>
        <w:t xml:space="preserve">SWIP-N delivers 2,000 MW of bidirectional capacity directly to Jerome County. No other county in Idaho has this level of new transmission investment arriving at its doorstep.</w:t>
      </w:r>
    </w:p>
    <w:p>
      <w:pPr>
        <w:spacing w:after="200" w:line="276"/>
      </w:pPr>
      <w:r>
        <w:rPr>
          <w:rFonts w:ascii="Arial" w:cs="Arial" w:eastAsia="Arial" w:hAnsi="Arial"/>
          <w:b/>
          <w:bCs/>
          <w:sz w:val="24"/>
          <w:szCs w:val="24"/>
        </w:rPr>
        <w:t xml:space="preserve">2. Interconnection to CAISO’s high-price market: </w:t>
      </w:r>
      <w:r>
        <w:rPr>
          <w:rFonts w:ascii="Arial" w:cs="Arial" w:eastAsia="Arial" w:hAnsi="Arial"/>
          <w:sz w:val="24"/>
          <w:szCs w:val="24"/>
        </w:rPr>
        <w:t xml:space="preserve">The CAISO day-ahead market regularly clears at $40–$80/MWh, 2–4x Idaho’s local rates. Every MW of solar or BESS capacity sited near Midpoint can arbitrage this spread—a profit incentive that does not exist in counties without interstate transmission.</w:t>
      </w:r>
    </w:p>
    <w:p>
      <w:pPr>
        <w:spacing w:after="200" w:line="276"/>
      </w:pPr>
      <w:r>
        <w:rPr>
          <w:rFonts w:ascii="Arial" w:cs="Arial" w:eastAsia="Arial" w:hAnsi="Arial"/>
          <w:b/>
          <w:bCs/>
          <w:sz w:val="24"/>
          <w:szCs w:val="24"/>
        </w:rPr>
        <w:t xml:space="preserve">3. Existing grid infrastructure: </w:t>
      </w:r>
      <w:r>
        <w:rPr>
          <w:rFonts w:ascii="Arial" w:cs="Arial" w:eastAsia="Arial" w:hAnsi="Arial"/>
          <w:sz w:val="24"/>
          <w:szCs w:val="24"/>
        </w:rPr>
        <w:t xml:space="preserve">Midpoint is already a major 500 kV substation at the intersection of Idaho Power, PacifiCorp, and BPA transmission corridors. SWIP-N adds to an already robust grid node, reducing interconnection costs and timelines for developers.</w:t>
      </w:r>
    </w:p>
    <w:p>
      <w:pPr>
        <w:spacing w:after="200" w:line="276"/>
      </w:pPr>
      <w:r>
        <w:rPr>
          <w:rFonts w:ascii="Arial" w:cs="Arial" w:eastAsia="Arial" w:hAnsi="Arial"/>
          <w:b/>
          <w:bCs/>
          <w:sz w:val="24"/>
          <w:szCs w:val="24"/>
        </w:rPr>
        <w:t xml:space="preserve">4. Developer concentration: </w:t>
      </w:r>
      <w:r>
        <w:rPr>
          <w:rFonts w:ascii="Arial" w:cs="Arial" w:eastAsia="Arial" w:hAnsi="Arial"/>
          <w:sz w:val="24"/>
          <w:szCs w:val="24"/>
        </w:rPr>
        <w:t xml:space="preserve">LS Power (SWIP-N developer, through Great Basin Transmission) also proposed Magic Valley Energy’s 1,000+ MW solar project adjacent to Midpoint. The same entity building the transmission is developing the generation. This is not coincidence—it is a vertically integrated development strategy.</w:t>
      </w:r>
    </w:p>
    <w:p>
      <w:pPr>
        <w:spacing w:after="200" w:line="276"/>
      </w:pPr>
      <w:r>
        <w:rPr>
          <w:rFonts w:ascii="Arial" w:cs="Arial" w:eastAsia="Arial" w:hAnsi="Arial"/>
          <w:b/>
          <w:bCs/>
          <w:sz w:val="24"/>
          <w:szCs w:val="24"/>
        </w:rPr>
        <w:t xml:space="preserve">5. Flat, irrigated, Class I/II farmland: </w:t>
      </w:r>
      <w:r>
        <w:rPr>
          <w:rFonts w:ascii="Arial" w:cs="Arial" w:eastAsia="Arial" w:hAnsi="Arial"/>
          <w:sz w:val="24"/>
          <w:szCs w:val="24"/>
        </w:rPr>
        <w:t xml:space="preserve">The land surrounding Midpoint is exactly what utility-scale solar developers prefer: flat, clear, road-accessible, with existing utility easements. It is also exactly what 10,000–15,000 years of geological and agricultural history produced as the most productive farmland in Idaho.</w:t>
      </w:r>
    </w:p>
    <w:p>
      <w:pPr>
        <w:spacing w:after="200" w:line="276"/>
      </w:pPr>
      <w:r>
        <w:rPr>
          <w:rFonts w:ascii="Arial" w:cs="Arial" w:eastAsia="Arial" w:hAnsi="Arial"/>
          <w:b/>
          <w:bCs/>
          <w:sz w:val="24"/>
          <w:szCs w:val="24"/>
        </w:rPr>
        <w:t xml:space="preserve">The bottom line: </w:t>
      </w:r>
      <w:r>
        <w:rPr>
          <w:rFonts w:ascii="Arial" w:cs="Arial" w:eastAsia="Arial" w:hAnsi="Arial"/>
          <w:sz w:val="24"/>
          <w:szCs w:val="24"/>
        </w:rPr>
        <w:t xml:space="preserve">Without the Chapter 11 protections, the question is not whether Jerome County will experience significant farmland conversion—it is how fast. The pipeline already exceeds 4,000 MW and 14,600 acres of documented project proposals. The 5-year estimate of 3–7% without protections is grounded in filed projects, not speculation. With Chapter 11’s Tier 3 review and Class I/II restrictions, the county retains the ability to direct development to appropriate sites and hold the line on its irreplaceable agricultural base.</w:t>
      </w:r>
    </w:p>
    <w:p>
      <w:pPr>
        <w:pStyle w:val="Heading2"/>
      </w:pPr>
      <w:r>
        <w:rPr>
          <w:rFonts w:ascii="Arial" w:cs="Arial" w:eastAsia="Arial" w:hAnsi="Arial"/>
          <w:sz w:val="24"/>
          <w:szCs w:val="24"/>
        </w:rPr>
        <w:t xml:space="preserve">E. National and Idaho Solar Farm Context</w:t>
      </w:r>
    </w:p>
    <w:p>
      <w:pPr>
        <w:spacing w:after="200" w:line="276"/>
      </w:pPr>
      <w:r>
        <w:rPr>
          <w:rFonts w:ascii="Arial" w:cs="Arial" w:eastAsia="Arial" w:hAnsi="Arial"/>
          <w:sz w:val="24"/>
          <w:szCs w:val="24"/>
        </w:rPr>
        <w:t xml:space="preserve">Understanding the scale of what is proposed for Jerome County requires context. How many solar farms exist, how large are they, and how does what’s targeting this county compare to national patterns?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2600"/>
        <w:gridCol w:w="3560"/>
      </w:tblGrid>
      <w:tr>
        <w:trPr>
          <w:tblHeader/>
        </w:trPr>
        <w:tc>
          <w:tcPr>
            <w:tcW w:type="dxa" w:w="32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Metric</w:t>
            </w:r>
          </w:p>
        </w:tc>
        <w:tc>
          <w:tcPr>
            <w:tcW w:type="dxa" w:w="26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Value</w:t>
            </w:r>
          </w:p>
        </w:tc>
        <w:tc>
          <w:tcPr>
            <w:tcW w:type="dxa" w:w="35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Source / Date</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Total U.S. utility-scale solar plants (&gt;1 MWac)</w:t>
            </w:r>
          </w:p>
        </w:tc>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~2,500+</w:t>
            </w:r>
          </w:p>
        </w:tc>
        <w:tc>
          <w:tcPr>
            <w:tcW w:type="dxa" w:w="3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EIA; through 2024</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LBNL tracked projects (&gt;5 MWac)</w:t>
            </w:r>
          </w:p>
        </w:tc>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1,760 plants; 107 GW</w:t>
            </w:r>
          </w:p>
        </w:tc>
        <w:tc>
          <w:tcPr>
            <w:tcW w:type="dxa" w:w="3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LBNL 2025 Data Update</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Total U.S. farmland converted to solar</w:t>
            </w:r>
          </w:p>
        </w:tc>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~1.25 million acres</w:t>
            </w:r>
          </w:p>
        </w:tc>
        <w:tc>
          <w:tcPr>
            <w:tcW w:type="dxa" w:w="3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USDA/AFT; through 2024</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 of U.S. farmland converted</w:t>
            </w:r>
          </w:p>
        </w:tc>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0.14% of 879 million acres</w:t>
            </w:r>
          </w:p>
        </w:tc>
        <w:tc>
          <w:tcPr>
            <w:tcW w:type="dxa" w:w="3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USDA Census</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 of rural solar built on cropland</w:t>
            </w:r>
          </w:p>
        </w:tc>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43%</w:t>
            </w:r>
          </w:p>
        </w:tc>
        <w:tc>
          <w:tcPr>
            <w:tcW w:type="dxa" w:w="3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USDA ERS (2012–2020 projects)</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 of rural solar built on pasture/rangeland</w:t>
            </w:r>
          </w:p>
        </w:tc>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21%</w:t>
            </w:r>
          </w:p>
        </w:tc>
        <w:tc>
          <w:tcPr>
            <w:tcW w:type="dxa" w:w="3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USDA ERS (2012–2020 projects)</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Median U.S. plant size</w:t>
            </w:r>
          </w:p>
        </w:tc>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≤5 MWac (~25–35 acres)</w:t>
            </w:r>
          </w:p>
        </w:tc>
        <w:tc>
          <w:tcPr>
            <w:tcW w:type="dxa" w:w="3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EIA 2024 data update</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New-build projects targeting farmland (typical)</w:t>
            </w:r>
          </w:p>
        </w:tc>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150–400 MW (750–2,800 acres)</w:t>
            </w:r>
          </w:p>
        </w:tc>
        <w:tc>
          <w:tcPr>
            <w:tcW w:type="dxa" w:w="3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SEIA Major Projects List; developer filings</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Largest U.S. projects under development</w:t>
            </w:r>
          </w:p>
        </w:tc>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400–1,000+ MW (2,000–7,000+ acres)</w:t>
            </w:r>
          </w:p>
        </w:tc>
        <w:tc>
          <w:tcPr>
            <w:tcW w:type="dxa" w:w="3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EIA; developer filings</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Idaho: operational utility-scale solar</w:t>
            </w:r>
          </w:p>
        </w:tc>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~24 projects; 779 MW total</w:t>
            </w:r>
          </w:p>
        </w:tc>
        <w:tc>
          <w:tcPr>
            <w:tcW w:type="dxa" w:w="3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Idaho Power contracts; through 2024</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Idaho: largest operational</w:t>
            </w:r>
          </w:p>
        </w:tc>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200 MW (Pleasant Valley, near Boise)</w:t>
            </w:r>
          </w:p>
        </w:tc>
        <w:tc>
          <w:tcPr>
            <w:tcW w:type="dxa" w:w="3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Operational early 2025</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Idaho Power IRP: new solar planned</w:t>
            </w:r>
          </w:p>
        </w:tc>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1,445 MW new capacity (2026–2033)</w:t>
            </w:r>
          </w:p>
        </w:tc>
        <w:tc>
          <w:tcPr>
            <w:tcW w:type="dxa" w:w="3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Idaho Power 2025 IRP</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Jerome County pipeline alone</w:t>
            </w:r>
          </w:p>
        </w:tc>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4,000+ MW; 14,600+ acres</w:t>
            </w:r>
          </w:p>
        </w:tc>
        <w:tc>
          <w:tcPr>
            <w:tcW w:type="dxa" w:w="3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BLM filings; Idaho Power LGIP queue</w:t>
            </w:r>
          </w:p>
        </w:tc>
      </w:tr>
    </w:tbl>
    <w:p>
      <w:pPr>
        <w:spacing w:after="200" w:line="276"/>
      </w:pPr>
      <w:r>
        <w:rPr>
          <w:rFonts w:ascii="Arial" w:cs="Arial" w:eastAsia="Arial" w:hAnsi="Arial"/>
          <w:b/>
          <w:bCs/>
          <w:sz w:val="24"/>
          <w:szCs w:val="24"/>
        </w:rPr>
        <w:t xml:space="preserve">What these numbers reveal: </w:t>
      </w:r>
      <w:r>
        <w:rPr>
          <w:rFonts w:ascii="Arial" w:cs="Arial" w:eastAsia="Arial" w:hAnsi="Arial"/>
          <w:sz w:val="24"/>
          <w:szCs w:val="24"/>
        </w:rPr>
        <w:t xml:space="preserve">The entire state of Idaho has 779 MW of operational utility-scale solar across ~24 projects. The pipeline targeting Jerome County alone exceeds 4,000 MW—more than five times Idaho’s entire current solar capacity, concentrated on a single county’s farmland. Nationally, the median solar plant is small (5 MW), but the projects targeting Jerome County are 200–1,000+ MW industrial facilities. This is not distributed energy. It is industrial-scale land conversion at a scale that would place Jerome County among the most heavily converted agricultural counties in the nation.</w:t>
      </w:r>
    </w:p>
    <w:p>
      <w:pPr>
        <w:spacing w:after="200" w:line="276"/>
      </w:pPr>
      <w:r>
        <w:rPr>
          <w:rFonts w:ascii="Arial" w:cs="Arial" w:eastAsia="Arial" w:hAnsi="Arial"/>
          <w:b/>
          <w:bCs/>
          <w:sz w:val="24"/>
          <w:szCs w:val="24"/>
        </w:rPr>
        <w:t xml:space="preserve">The USDA policy shift: </w:t>
      </w:r>
      <w:r>
        <w:rPr>
          <w:rFonts w:ascii="Arial" w:cs="Arial" w:eastAsia="Arial" w:hAnsi="Arial"/>
          <w:sz w:val="24"/>
          <w:szCs w:val="24"/>
        </w:rPr>
        <w:t xml:space="preserve">In 2025, the USDA announced it will no longer support solar and wind projects on productive farmland—a reversal of prior policy that underscores the growing national recognition that prime agricultural land warrants protection from energy conversion. Idaho’s SB 1133, HCR032, and the proposed Chapter 11 ordinance are consistent with this federal direction.</w:t>
      </w:r>
    </w:p>
    <w:p>
      <w:pPr>
        <w:pStyle w:val="Heading2"/>
      </w:pPr>
      <w:r>
        <w:rPr>
          <w:rFonts w:ascii="Arial" w:cs="Arial" w:eastAsia="Arial" w:hAnsi="Arial"/>
          <w:sz w:val="24"/>
          <w:szCs w:val="24"/>
        </w:rPr>
        <w:t xml:space="preserve">F. 5-Year and 10-Year Projections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2400"/>
        <w:gridCol w:w="2400"/>
        <w:gridCol w:w="1960"/>
      </w:tblGrid>
      <w:tr>
        <w:trPr>
          <w:tblHeader/>
        </w:trPr>
        <w:tc>
          <w:tcPr>
            <w:tcW w:type="dxa" w:w="26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Timeframe</w:t>
            </w:r>
          </w:p>
        </w:tc>
        <w:tc>
          <w:tcPr>
            <w:tcW w:type="dxa" w:w="2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Without Protections</w:t>
            </w:r>
          </w:p>
        </w:tc>
        <w:tc>
          <w:tcPr>
            <w:tcW w:type="dxa" w:w="2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With Chapter 11</w:t>
            </w:r>
          </w:p>
        </w:tc>
        <w:tc>
          <w:tcPr>
            <w:tcW w:type="dxa" w:w="19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Key Driver</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5 years (2026–2031)</w:t>
            </w:r>
          </w:p>
        </w:tc>
        <w:tc>
          <w:tcPr>
            <w:tcW w:type="dxa" w:w="240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3–7% (4,700–11,000 ac)</w:t>
            </w:r>
          </w:p>
        </w:tc>
        <w:tc>
          <w:tcPr>
            <w:tcW w:type="dxa" w:w="240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0.5–2% (800–3,100 ac)</w:t>
            </w:r>
          </w:p>
        </w:tc>
        <w:tc>
          <w:tcPr>
            <w:tcW w:type="dxa" w:w="19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SWIP-N completion (2028); pipeline activation</w:t>
            </w:r>
          </w:p>
        </w:tc>
      </w:tr>
      <w:tr>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10 years (2026–2036)</w:t>
            </w:r>
          </w:p>
        </w:tc>
        <w:tc>
          <w:tcPr>
            <w:tcW w:type="dxa" w:w="240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8–15% (12,600–23,600 ac)</w:t>
            </w:r>
          </w:p>
        </w:tc>
        <w:tc>
          <w:tcPr>
            <w:tcW w:type="dxa" w:w="240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1–3% (1,600–4,700 ac)</w:t>
            </w:r>
          </w:p>
        </w:tc>
        <w:tc>
          <w:tcPr>
            <w:tcW w:type="dxa" w:w="19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Precedent cascade; dairy feed chain pressure</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Net ag production lost (10-yr, no protect.)</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$75.8M–$141.9M/year</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w:t>
            </w:r>
          </w:p>
        </w:tc>
        <w:tc>
          <w:tcPr>
            <w:tcW w:type="dxa" w:w="19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At $6,013/acre/year</w:t>
            </w:r>
          </w:p>
        </w:tc>
      </w:tr>
      <w:tr>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Net ag jobs lost (10-yr, no protect.)</w:t>
            </w:r>
          </w:p>
        </w:tc>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504–944 positions</w:t>
            </w:r>
          </w:p>
        </w:tc>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w:t>
            </w:r>
          </w:p>
        </w:tc>
        <w:tc>
          <w:tcPr>
            <w:tcW w:type="dxa" w:w="19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At 40 jobs/1,000 acres</w:t>
            </w:r>
          </w:p>
        </w:tc>
      </w:tr>
    </w:tbl>
    <w:p>
      <w:pPr>
        <w:spacing w:after="200" w:line="276"/>
      </w:pPr>
      <w:r>
        <w:rPr>
          <w:rFonts w:ascii="Arial" w:cs="Arial" w:eastAsia="Arial" w:hAnsi="Arial"/>
          <w:b/>
          <w:bCs/>
          <w:sz w:val="24"/>
          <w:szCs w:val="24"/>
        </w:rPr>
        <w:t xml:space="preserve">Critical qualifier: </w:t>
      </w:r>
      <w:r>
        <w:rPr>
          <w:rFonts w:ascii="Arial" w:cs="Arial" w:eastAsia="Arial" w:hAnsi="Arial"/>
          <w:sz w:val="24"/>
          <w:szCs w:val="24"/>
        </w:rPr>
        <w:t xml:space="preserve">The “without protections” scenario is not worst-case—it is the documented pipeline. 14,600+ acres of projects already target Jerome County. The Indiana precedent (Pulaski County: 12%) shows conversion can exceed projections when transmission infrastructure is present and regulation is permissive. The “with Chapter 11” scenario assumes the ordinance passes with Tier 3 review intact, Class I/II restrictions enforced, and BOCC maintains the standard against developer legal challenges.</w:t>
      </w:r>
    </w:p>
    <w:p>
      <w:r>
        <w:br w:type="page"/>
      </w:r>
    </w:p>
    <w:p>
      <w:pPr>
        <w:pStyle w:val="Heading1"/>
      </w:pPr>
      <w:r>
        <w:rPr>
          <w:rFonts w:ascii="Arial" w:cs="Arial" w:eastAsia="Arial" w:hAnsi="Arial"/>
          <w:sz w:val="24"/>
          <w:szCs w:val="24"/>
        </w:rPr>
        <w:t xml:space="preserve">V. Cascading Effects on Agriculture, Dairy, and Food Processing</w:t>
      </w:r>
    </w:p>
    <w:p>
      <w:pPr>
        <w:spacing w:after="200" w:line="276"/>
      </w:pPr>
      <w:r>
        <w:rPr>
          <w:rFonts w:ascii="Arial" w:cs="Arial" w:eastAsia="Arial" w:hAnsi="Arial"/>
          <w:b/>
          <w:bCs/>
          <w:sz w:val="24"/>
          <w:szCs w:val="24"/>
        </w:rPr>
        <w:t xml:space="preserve">This section traces how farmland conversion propagates through Jerome County’s integrated agricultural economy—from immediate crop and job losses, through the dairy feed chain and food processing sector, to irreversible long-term damage to the Magic Valley’s $7–11 billion agricultural cluster.</w:t>
      </w:r>
    </w:p>
    <w:p>
      <w:pPr>
        <w:pStyle w:val="Heading2"/>
      </w:pPr>
      <w:r>
        <w:rPr>
          <w:rFonts w:ascii="Arial" w:cs="Arial" w:eastAsia="Arial" w:hAnsi="Arial"/>
          <w:sz w:val="24"/>
          <w:szCs w:val="24"/>
        </w:rPr>
        <w:t xml:space="preserve">A. First-Order: Crop Production Loss and Job Displacement</w:t>
      </w:r>
    </w:p>
    <w:p>
      <w:pPr>
        <w:spacing w:after="200" w:line="276"/>
      </w:pPr>
      <w:r>
        <w:rPr>
          <w:rFonts w:ascii="Arial" w:cs="Arial" w:eastAsia="Arial" w:hAnsi="Arial"/>
          <w:sz w:val="24"/>
          <w:szCs w:val="24"/>
        </w:rPr>
        <w:t xml:space="preserve">Direct crop production lost ($6,013/acre replaced by $1,588 in local energy return). Job displacement at 7–13:1 ratio. Property tax restructuring from stable ag assessment to volatile solar gross-receipts. Property value decline of 4.8% on homes within 3 miles (PNAS 2025).</w:t>
      </w:r>
    </w:p>
    <w:p>
      <w:pPr>
        <w:pStyle w:val="Heading3"/>
      </w:pPr>
      <w:r>
        <w:rPr>
          <w:rFonts w:ascii="Arial" w:cs="Arial" w:eastAsia="Arial" w:hAnsi="Arial"/>
          <w:sz w:val="24"/>
          <w:szCs w:val="24"/>
        </w:rPr>
        <w:t xml:space="preserve">First-Order Employment Effect: Sources and Methodology</w:t>
      </w:r>
    </w:p>
    <w:p>
      <w:pPr>
        <w:spacing w:after="200" w:line="276"/>
      </w:pPr>
      <w:r>
        <w:rPr>
          <w:rFonts w:ascii="Arial" w:cs="Arial" w:eastAsia="Arial" w:hAnsi="Arial"/>
          <w:b/>
          <w:bCs/>
          <w:sz w:val="24"/>
          <w:szCs w:val="24"/>
        </w:rPr>
        <w:t xml:space="preserve">Agricultural employment density (40+ jobs per 1,000 acres): </w:t>
      </w:r>
      <w:r>
        <w:rPr>
          <w:rFonts w:ascii="Arial" w:cs="Arial" w:eastAsia="Arial" w:hAnsi="Arial"/>
          <w:sz w:val="24"/>
          <w:szCs w:val="24"/>
        </w:rPr>
        <w:t xml:space="preserve">This figure is derived from three converging data sources:</w:t>
      </w:r>
    </w:p>
    <w:p>
      <w:pPr>
        <w:spacing w:after="200" w:line="276"/>
      </w:pPr>
      <w:r>
        <w:rPr>
          <w:rFonts w:ascii="Arial" w:cs="Arial" w:eastAsia="Arial" w:hAnsi="Arial"/>
          <w:b/>
          <w:bCs/>
          <w:sz w:val="24"/>
          <w:szCs w:val="24"/>
        </w:rPr>
        <w:t xml:space="preserve">1. University of Idaho CAFE statewide data: </w:t>
      </w:r>
      <w:r>
        <w:rPr>
          <w:rFonts w:ascii="Arial" w:cs="Arial" w:eastAsia="Arial" w:hAnsi="Arial"/>
          <w:sz w:val="24"/>
          <w:szCs w:val="24"/>
        </w:rPr>
        <w:t xml:space="preserve">Idaho’s agricultural sector generates 126,800 jobs statewide (U of I CAFE, 2024) across approximately 11.5 million acres of total farmland (USDA Census 2022). However, irrigated cropland in the Magic Valley is dramatically more labor-intensive than dryland ranching. The Magic Valley hosts over 40% of Idaho’s agricultural employment on roughly 12% of its farmland. Jerome County’s 157,000 irrigated acres support an employment density well above the statewide average due to dairy operations, feed crop intensity, and downstream processing.</w:t>
      </w:r>
    </w:p>
    <w:p>
      <w:pPr>
        <w:spacing w:after="200" w:line="276"/>
      </w:pPr>
      <w:r>
        <w:rPr>
          <w:rFonts w:ascii="Arial" w:cs="Arial" w:eastAsia="Arial" w:hAnsi="Arial"/>
          <w:b/>
          <w:bCs/>
          <w:sz w:val="24"/>
          <w:szCs w:val="24"/>
        </w:rPr>
        <w:t xml:space="preserve">2. U of I Extension BUL1005 (Magic Valley Agribusiness): </w:t>
      </w:r>
      <w:r>
        <w:rPr>
          <w:rFonts w:ascii="Arial" w:cs="Arial" w:eastAsia="Arial" w:hAnsi="Arial"/>
          <w:sz w:val="24"/>
          <w:szCs w:val="24"/>
        </w:rPr>
        <w:t xml:space="preserve">Over 40% of Magic Valley employment is in agribusiness or ag-related industries. Jerome County’s labor force is approximately 12,000–14,000. At 40%+ agricultural share, that is 4,800–5,600+ ag-linked jobs. Divided by 157,000 acres, this yields 30–36 direct jobs per 1,000 acres—before accounting for indirect supply chain employment (mechanics, transport, feed dealers, veterinary services). With the multiplier, 40+ per 1,000 acres is conservative.</w:t>
      </w:r>
    </w:p>
    <w:p>
      <w:pPr>
        <w:spacing w:after="200" w:line="276"/>
      </w:pPr>
      <w:r>
        <w:rPr>
          <w:rFonts w:ascii="Arial" w:cs="Arial" w:eastAsia="Arial" w:hAnsi="Arial"/>
          <w:b/>
          <w:bCs/>
          <w:sz w:val="24"/>
          <w:szCs w:val="24"/>
        </w:rPr>
        <w:t xml:space="preserve">3. USDA Census of Agriculture, Jerome County (2022): </w:t>
      </w:r>
      <w:r>
        <w:rPr>
          <w:rFonts w:ascii="Arial" w:cs="Arial" w:eastAsia="Arial" w:hAnsi="Arial"/>
          <w:sz w:val="24"/>
          <w:szCs w:val="24"/>
        </w:rPr>
        <w:t xml:space="preserve">Reports 845 farm operations in Jerome County. Average operation employs 3–5 workers (family plus hired labor), yielding 2,535–4,225 on-farm jobs. Adding dairy labor (Jerome County is a top-3 dairy county in Idaho), processing facility workers, and ag-support service employees brings the total well above 5,000 for 157,000 acres—approximately 32–40 per 1,000 acres at the on-farm and first-tier level alone.</w:t>
      </w:r>
    </w:p>
    <w:p>
      <w:pPr>
        <w:spacing w:after="200" w:line="276"/>
      </w:pPr>
      <w:r>
        <w:rPr>
          <w:rFonts w:ascii="Arial" w:cs="Arial" w:eastAsia="Arial" w:hAnsi="Arial"/>
          <w:b/>
          <w:bCs/>
          <w:sz w:val="24"/>
          <w:szCs w:val="24"/>
        </w:rPr>
        <w:t xml:space="preserve">4. Cross-check with BLS/BEA: </w:t>
      </w:r>
      <w:r>
        <w:rPr>
          <w:rFonts w:ascii="Arial" w:cs="Arial" w:eastAsia="Arial" w:hAnsi="Arial"/>
          <w:sz w:val="24"/>
          <w:szCs w:val="24"/>
        </w:rPr>
        <w:t xml:space="preserve">BLS Quarterly Census of Employment and Wages for Jerome County shows 2,800–3,200 employees in NAICS 11 (Agriculture, Forestry, Fishing) and NAICS 311 (Food Manufacturing). These are only the formally reported, W-2 employment figures. They exclude sole proprietors, family farm labor, H-2A seasonal workers, and the extensive informal labor force in dairy and crop operations. The actual agricultural employment footprint is significantly larger.</w:t>
      </w:r>
    </w:p>
    <w:p>
      <w:pPr>
        <w:spacing w:after="200" w:line="276"/>
      </w:pPr>
      <w:r>
        <w:rPr>
          <w:rFonts w:ascii="Arial" w:cs="Arial" w:eastAsia="Arial" w:hAnsi="Arial"/>
          <w:b/>
          <w:bCs/>
          <w:sz w:val="24"/>
          <w:szCs w:val="24"/>
        </w:rPr>
        <w:t xml:space="preserve">Energy employment density (3–6 jobs per 1,000 acres): </w:t>
      </w:r>
      <w:r>
        <w:rPr>
          <w:rFonts w:ascii="Arial" w:cs="Arial" w:eastAsia="Arial" w:hAnsi="Arial"/>
          <w:sz w:val="24"/>
          <w:szCs w:val="24"/>
        </w:rPr>
        <w:t xml:space="preserve">NextEra’s own testimony at the January 26, 2026 P&amp;Z hearing stated 2–3 permanent positions per facility. At 500 acres per facility, that is 4–6 per 1,000 acres. Industry-wide data from SEIA and BLS confirms that utility-scale solar and BESS operations require minimal permanent staff—primarily remote monitoring technicians and periodic maintenance crews. The 3–6 range is generous; many facilities operate with fewer than 3 on-site personnel.</w:t>
      </w:r>
    </w:p>
    <w:p>
      <w:pPr>
        <w:spacing w:after="200" w:line="276"/>
      </w:pPr>
      <w:r>
        <w:rPr>
          <w:rFonts w:ascii="Arial" w:cs="Arial" w:eastAsia="Arial" w:hAnsi="Arial"/>
          <w:b/>
          <w:bCs/>
          <w:sz w:val="24"/>
          <w:szCs w:val="24"/>
        </w:rPr>
        <w:t xml:space="preserve">The ratio: </w:t>
      </w:r>
      <w:r>
        <w:rPr>
          <w:rFonts w:ascii="Arial" w:cs="Arial" w:eastAsia="Arial" w:hAnsi="Arial"/>
          <w:sz w:val="24"/>
          <w:szCs w:val="24"/>
        </w:rPr>
        <w:t xml:space="preserve">40+ agricultural jobs per 1,000 acres versus 3–6 energy jobs per 1,000 acres = 7:1 to 13:1. At 10% conversion (15,700 acres), this translates to 628 agricultural jobs lost and 96 energy jobs created—a net loss of 532 positions. These are not abstract statistics. They are 532 families in Jerome County whose primary income source is eliminated and not replaced.</w:t>
      </w:r>
    </w:p>
    <w:p>
      <w:pPr>
        <w:pStyle w:val="Heading2"/>
      </w:pPr>
      <w:r>
        <w:rPr>
          <w:rFonts w:ascii="Arial" w:cs="Arial" w:eastAsia="Arial" w:hAnsi="Arial"/>
          <w:sz w:val="24"/>
          <w:szCs w:val="24"/>
        </w:rPr>
        <w:t xml:space="preserve">B. Second-Order: Dairy Feed Chain Disruption and Food Processor Threat</w:t>
      </w:r>
    </w:p>
    <w:p>
      <w:pPr>
        <w:spacing w:after="200" w:line="276"/>
      </w:pPr>
      <w:r>
        <w:rPr>
          <w:rFonts w:ascii="Arial" w:cs="Arial" w:eastAsia="Arial" w:hAnsi="Arial"/>
          <w:sz w:val="24"/>
          <w:szCs w:val="24"/>
        </w:rPr>
        <w:t xml:space="preserve">When irrigated cropland is converted, the first domino is the dairy feed supply. Alfalfa and silage corn acreage shrinks, feed costs spike, and the impact transmits directly into the Magic Valley’s dairy operations and the food processing plants that depend on them—Idaho Milk Products, Jerome Cheese (Lactalis), Glanbia, Chobani, Agropur, and Amalgamated Sugar. Simultaneously, utility rate escalation (Idaho Power: 7.48% 2025 increase; irrigation demand +138% since 2021) and water competition with ESPA already in 75,300 acre-foot deficit compound the pressure on every agricultural operation in the county.</w:t>
      </w:r>
    </w:p>
    <w:p>
      <w:pPr>
        <w:pStyle w:val="Heading3"/>
      </w:pPr>
      <w:r>
        <w:rPr>
          <w:rFonts w:ascii="Arial" w:cs="Arial" w:eastAsia="Arial" w:hAnsi="Arial"/>
          <w:sz w:val="24"/>
          <w:szCs w:val="24"/>
        </w:rPr>
        <w:t xml:space="preserve">Feed Costs and Dairy Impact</w:t>
      </w:r>
    </w:p>
    <w:p>
      <w:pPr>
        <w:spacing w:after="200" w:line="276"/>
      </w:pPr>
      <w:r>
        <w:rPr>
          <w:rFonts w:ascii="Arial" w:cs="Arial" w:eastAsia="Arial" w:hAnsi="Arial"/>
          <w:sz w:val="24"/>
          <w:szCs w:val="24"/>
        </w:rPr>
        <w:t xml:space="preserve">Jerome County’s agricultural economy is not a collection of independent farms—it is an integrated feed-to-dairy supply chain. Approximately 45% of Jerome County’s irrigated cropland produces alfalfa hay and silage corn, the two primary feedstocks for the Magic Valley’s dairy industry. When irrigated acres are removed from production, the impact cascades immediately into dairy operations.</w:t>
      </w:r>
    </w:p>
    <w:p>
      <w:pPr>
        <w:spacing w:after="200" w:line="276"/>
      </w:pPr>
      <w:r>
        <w:rPr>
          <w:rFonts w:ascii="Arial" w:cs="Arial" w:eastAsia="Arial" w:hAnsi="Arial"/>
          <w:b/>
          <w:bCs/>
          <w:sz w:val="24"/>
          <w:szCs w:val="24"/>
        </w:rPr>
        <w:t xml:space="preserve">Feed cost arithmetic: </w:t>
      </w:r>
      <w:r>
        <w:rPr>
          <w:rFonts w:ascii="Arial" w:cs="Arial" w:eastAsia="Arial" w:hAnsi="Arial"/>
          <w:sz w:val="24"/>
          <w:szCs w:val="24"/>
        </w:rPr>
        <w:t xml:space="preserve">A typical Idaho dairy cow consumes approximately 50–60 pounds of feed per day, of which 30–40% is locally sourced alfalfa and corn silage. Jerome County’s ~70,000 acres of hay and silage production support an estimated 200,000–300,000 dairy cows across the Magic Valley. At 5% conversion (7,850 acres), approximately 3,500 acres of feed production are removed—enough to feed 15,000–25,000 dairy cows for a year. At 10% conversion, 7,000+ feed acres are lost, affecting 30,000–50,000 cows. At 20%, the feed deficit threatens 60,000–100,000 cows—up to a third of the Magic Valley herd.</w:t>
      </w:r>
    </w:p>
    <w:p>
      <w:pPr>
        <w:spacing w:after="200" w:line="276"/>
      </w:pPr>
      <w:r>
        <w:rPr>
          <w:rFonts w:ascii="Arial" w:cs="Arial" w:eastAsia="Arial" w:hAnsi="Arial"/>
          <w:b/>
          <w:bCs/>
          <w:sz w:val="24"/>
          <w:szCs w:val="24"/>
        </w:rPr>
        <w:t xml:space="preserve">The price transmission mechanism: </w:t>
      </w:r>
      <w:r>
        <w:rPr>
          <w:rFonts w:ascii="Arial" w:cs="Arial" w:eastAsia="Arial" w:hAnsi="Arial"/>
          <w:sz w:val="24"/>
          <w:szCs w:val="24"/>
        </w:rPr>
        <w:t xml:space="preserve">When local feed supply contracts, dairies must source feed from outside the region. Alfalfa hay prices in Idaho averaged $215–$260/ton in 2024 (NASS). Imported feed from eastern Oregon, Utah, or Washington adds $30–60/ton in freight costs—a 12–28% cost increase on the single largest operating expense for dairy operations. Feed typically represents 50–65% of total dairy operating costs. Even a 10% increase in feed costs can eliminate the profit margin for dairies operating at 2–5% net margins.</w:t>
      </w:r>
    </w:p>
    <w:p>
      <w:pPr>
        <w:spacing w:after="200" w:line="276"/>
      </w:pPr>
      <w:r>
        <w:rPr>
          <w:rFonts w:ascii="Arial" w:cs="Arial" w:eastAsia="Arial" w:hAnsi="Arial"/>
          <w:b/>
          <w:bCs/>
          <w:sz w:val="24"/>
          <w:szCs w:val="24"/>
        </w:rPr>
        <w:t xml:space="preserve">When dairies fail, the dominoes fall: </w:t>
      </w:r>
      <w:r>
        <w:rPr>
          <w:rFonts w:ascii="Arial" w:cs="Arial" w:eastAsia="Arial" w:hAnsi="Arial"/>
          <w:sz w:val="24"/>
          <w:szCs w:val="24"/>
        </w:rPr>
        <w:t xml:space="preserve">A dairy operation that closes does not just eliminate dairy jobs. It eliminates demand for local feed (further depressing crop prices for remaining farmers), veterinary services, milking equipment maintenance, tanker truck routes, processing plant throughput, and retail dairy employment. Idaho’s dairy sector contributes $7–11 billion statewide and supports 33,000–51,000 jobs. The Magic Valley hosts 72% of Idaho’s dairy cows. A feed supply contraction in Jerome County does not stay in Jerome County—it propagates through the entire Magic Valley dairy cluster.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2000"/>
        <w:gridCol w:w="2000"/>
        <w:gridCol w:w="2160"/>
      </w:tblGrid>
      <w:tr>
        <w:trPr>
          <w:tblHeader/>
        </w:trPr>
        <w:tc>
          <w:tcPr>
            <w:tcW w:type="dxa" w:w="32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Feed Impact by Conversion Scenario</w:t>
            </w:r>
          </w:p>
        </w:tc>
        <w:tc>
          <w:tcPr>
            <w:tcW w:type="dxa" w:w="20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5% (7,850 ac)</w:t>
            </w:r>
          </w:p>
        </w:tc>
        <w:tc>
          <w:tcPr>
            <w:tcW w:type="dxa" w:w="20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10% (15,700 ac)</w:t>
            </w:r>
          </w:p>
        </w:tc>
        <w:tc>
          <w:tcPr>
            <w:tcW w:type="dxa" w:w="21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20% (31,400 ac)</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Feed acres removed (~45% of converted)</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~3,500 acres</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~7,000 acres</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~14,000 acres</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Dairy cows affected (feed equivalent)</w:t>
            </w:r>
          </w:p>
        </w:tc>
        <w:tc>
          <w:tcPr>
            <w:tcW w:type="dxa" w:w="2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15,000–25,000</w:t>
            </w:r>
          </w:p>
        </w:tc>
        <w:tc>
          <w:tcPr>
            <w:tcW w:type="dxa" w:w="2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30,000–50,000</w:t>
            </w:r>
          </w:p>
        </w:tc>
        <w:tc>
          <w:tcPr>
            <w:tcW w:type="dxa" w:w="2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60,000–100,000</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Feed cost increase (freight premium)</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+$30–60/ton</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+$30–60/ton</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+$50–80/ton (scarcity)</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Dairy margin impact</w:t>
            </w:r>
          </w:p>
        </w:tc>
        <w:tc>
          <w:tcPr>
            <w:tcW w:type="dxa" w:w="2000"/>
            <w:tcBorders>
              <w:top w:val="single" w:color="CCCCCC" w:sz="1"/>
              <w:left w:val="single" w:color="CCCCCC" w:sz="1"/>
              <w:bottom w:val="single" w:color="CCCCCC" w:sz="1"/>
              <w:right w:val="single" w:color="CCCCCC" w:sz="1"/>
            </w:tcBorders>
            <w:shd w:fill="FFF3CD" w:val="clear"/>
            <w:tcMar>
              <w:top w:type="dxa" w:w="80"/>
              <w:left w:type="dxa" w:w="120"/>
              <w:bottom w:type="dxa" w:w="80"/>
              <w:right w:type="dxa" w:w="120"/>
            </w:tcMar>
          </w:tcPr>
          <w:p>
            <w:r>
              <w:rPr>
                <w:rFonts w:ascii="Arial" w:cs="Arial" w:eastAsia="Arial" w:hAnsi="Arial"/>
                <w:sz w:val="20"/>
                <w:szCs w:val="20"/>
              </w:rPr>
              <w:t xml:space="preserve">Compressed</w:t>
            </w:r>
          </w:p>
        </w:tc>
        <w:tc>
          <w:tcPr>
            <w:tcW w:type="dxa" w:w="200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Negative for many</w:t>
            </w:r>
          </w:p>
        </w:tc>
        <w:tc>
          <w:tcPr>
            <w:tcW w:type="dxa" w:w="21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Mass consolidation</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Downstream dairy jobs at risk</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500–1,500</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1,500–3,500</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4,000–8,000+</w:t>
            </w:r>
          </w:p>
        </w:tc>
      </w:tr>
    </w:tbl>
    <w:p>
      <w:pPr>
        <w:spacing w:after="200" w:line="276"/>
      </w:pPr>
      <w:r>
        <w:rPr>
          <w:rFonts w:ascii="Arial" w:cs="Arial" w:eastAsia="Arial" w:hAnsi="Arial"/>
          <w:b/>
          <w:bCs/>
          <w:sz w:val="24"/>
          <w:szCs w:val="24"/>
        </w:rPr>
        <w:t xml:space="preserve">The feed cost crisis is not speculative—it is the documented pattern: </w:t>
      </w:r>
      <w:r>
        <w:rPr>
          <w:rFonts w:ascii="Arial" w:cs="Arial" w:eastAsia="Arial" w:hAnsi="Arial"/>
          <w:sz w:val="24"/>
          <w:szCs w:val="24"/>
        </w:rPr>
        <w:t xml:space="preserve">In 2022–2023, when drought reduced Idaho hay production, alfalfa prices spiked to $300+/ton and multiple small and mid-size dairies in the Magic Valley sold their herds. Farmland conversion creates the same supply contraction as drought—except it is permanent. The land does not come back into production when prices rise. It is locked under solar panels for 25–30 years while the soil degrades underneath.</w:t>
      </w:r>
    </w:p>
    <w:p>
      <w:pPr>
        <w:pStyle w:val="Heading2"/>
      </w:pPr>
      <w:r>
        <w:rPr>
          <w:rFonts w:ascii="Arial" w:cs="Arial" w:eastAsia="Arial" w:hAnsi="Arial"/>
          <w:sz w:val="24"/>
          <w:szCs w:val="24"/>
        </w:rPr>
        <w:t xml:space="preserve">C. Third-Order: Dairy Herd Consolidation and Food Processing Contraction</w:t>
      </w:r>
    </w:p>
    <w:p>
      <w:pPr>
        <w:spacing w:after="200" w:line="276"/>
      </w:pPr>
      <w:r>
        <w:rPr>
          <w:rFonts w:ascii="Arial" w:cs="Arial" w:eastAsia="Arial" w:hAnsi="Arial"/>
          <w:sz w:val="24"/>
          <w:szCs w:val="24"/>
        </w:rPr>
        <w:t xml:space="preserve">As feed costs exceed margins, small and mid-size dairies sell their herds or close—the same pattern documented in the 2022–2023 drought. Each dairy closure eliminates demand for local feed (further depressing crop prices for remaining farmers), veterinary services, milking equipment maintenance, and tanker truck routes. Processing plants—Jerome Cheese, Idaho Milk Products, Glanbia, Chobani—see throughput decline as local milk supply contracts. Grain elevators, feed lots, equipment dealers, and support businesses become stranded assets. Speculative land price inflation disconnects values from agricultural productivity, raising costs for remaining farmers. The labor market hollows: stable ag jobs are replaced by a brief construction spike, then minimal permanent employment.</w:t>
      </w:r>
    </w:p>
    <w:p>
      <w:pPr>
        <w:pStyle w:val="Heading2"/>
      </w:pPr>
      <w:r>
        <w:rPr>
          <w:rFonts w:ascii="Arial" w:cs="Arial" w:eastAsia="Arial" w:hAnsi="Arial"/>
          <w:sz w:val="24"/>
          <w:szCs w:val="24"/>
        </w:rPr>
        <w:t xml:space="preserve">D. Fourth-Order: Irreversible Loss of Agricultural Infrastructure and Food Security</w:t>
      </w:r>
    </w:p>
    <w:p>
      <w:pPr>
        <w:spacing w:after="200" w:line="276"/>
      </w:pPr>
      <w:r>
        <w:rPr>
          <w:rFonts w:ascii="Arial" w:cs="Arial" w:eastAsia="Arial" w:hAnsi="Arial"/>
          <w:sz w:val="24"/>
          <w:szCs w:val="24"/>
        </w:rPr>
        <w:t xml:space="preserve">Soil degradation becomes permanent (NRCS 2024: six damage categories; Welsh Govt 2023: 18–30 years to irreversible). The integrated agricultural cluster that took generations to build—dairies, feed operations, processing plants, transportation networks, equipment dealers, veterinary practices—cannot be reassembled once the critical mass of farmland is lost. Food processing facilities that invested hundreds of millions in Jerome County and the Magic Valley (Chobani’s $750M+ Twin Falls plant, Glanbia’s processing network, Lactalis operations) face stranded capital if local milk supply is insufficient. Energy assets themselves may become stranded if the AI/data center bubble deflates (Yale 2025). The region’s economic identity shifts from agriculture to industrial. Idaho’s food security contribution—feeding families across the nation—is permanently diminished. Government dependency increases as displaced workers exhaust savings and local support systems.</w:t>
      </w:r>
    </w:p>
    <w:p>
      <w:r>
        <w:br w:type="page"/>
      </w:r>
    </w:p>
    <w:p>
      <w:pPr>
        <w:pStyle w:val="Heading1"/>
      </w:pPr>
      <w:r>
        <w:rPr>
          <w:rFonts w:ascii="Arial" w:cs="Arial" w:eastAsia="Arial" w:hAnsi="Arial"/>
          <w:sz w:val="24"/>
          <w:szCs w:val="24"/>
        </w:rPr>
        <w:t xml:space="preserve">VI. Impact on Working and Middle-Class Families</w:t>
      </w:r>
    </w:p>
    <w:p>
      <w:pPr>
        <w:pStyle w:val="Heading2"/>
      </w:pPr>
      <w:r>
        <w:rPr>
          <w:rFonts w:ascii="Arial" w:cs="Arial" w:eastAsia="Arial" w:hAnsi="Arial"/>
          <w:sz w:val="24"/>
          <w:szCs w:val="24"/>
        </w:rPr>
        <w:t xml:space="preserve">A. Who Works in Jerome County Agriculture?</w:t>
      </w:r>
    </w:p>
    <w:p>
      <w:pPr>
        <w:spacing w:after="200" w:line="276"/>
      </w:pPr>
      <w:r>
        <w:rPr>
          <w:rFonts w:ascii="Arial" w:cs="Arial" w:eastAsia="Arial" w:hAnsi="Arial"/>
          <w:sz w:val="24"/>
          <w:szCs w:val="24"/>
        </w:rPr>
        <w:t xml:space="preserve">Jerome County’s agricultural economy employs farm laborers, irrigation technicians, equipment operators, truck drivers, dairy workers, feed lot operators, veterinary technicians, crop consultants, grain elevator workers, food processing line workers, mechanics, and administrative staff. These are working-class and middle-class jobs paying $32,000–$55,000 annually with year-round stability. Many are multigenerational—families have worked the same land and the same operations for decades. The Magic Valley’s 40%+ agricultural employment share means agriculture is not one sector among many; it is the economic foundation of community life.</w:t>
      </w:r>
    </w:p>
    <w:p>
      <w:pPr>
        <w:pStyle w:val="Heading2"/>
      </w:pPr>
      <w:r>
        <w:rPr>
          <w:rFonts w:ascii="Arial" w:cs="Arial" w:eastAsia="Arial" w:hAnsi="Arial"/>
          <w:sz w:val="24"/>
          <w:szCs w:val="24"/>
        </w:rPr>
        <w:t xml:space="preserve">B. What Happens to These Families When Farmland Is Converted?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3200"/>
        <w:gridCol w:w="3760"/>
      </w:tblGrid>
      <w:tr>
        <w:trPr>
          <w:tblHeader/>
        </w:trPr>
        <w:tc>
          <w:tcPr>
            <w:tcW w:type="dxa" w:w="2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Impact</w:t>
            </w:r>
          </w:p>
        </w:tc>
        <w:tc>
          <w:tcPr>
            <w:tcW w:type="dxa" w:w="32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Agriculture (Status Quo)</w:t>
            </w:r>
          </w:p>
        </w:tc>
        <w:tc>
          <w:tcPr>
            <w:tcW w:type="dxa" w:w="37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After Conversion</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Year-round employment</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40+ jobs per 1,000 acres</w:t>
            </w:r>
          </w:p>
        </w:tc>
        <w:tc>
          <w:tcPr>
            <w:tcW w:type="dxa" w:w="37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3–6 jobs per 1,000 acres</w:t>
            </w:r>
          </w:p>
        </w:tc>
      </w:tr>
      <w:tr>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Income range</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$32,000–$55,000 (stable)</w:t>
            </w:r>
          </w:p>
        </w:tc>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$45,000–$65,000 (2–3 tech jobs); $0 for displaced</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Job accessibility</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No degree required; skills-based</w:t>
            </w:r>
          </w:p>
        </w:tc>
        <w:tc>
          <w:tcPr>
            <w:tcW w:type="dxa" w:w="37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Specialized monitoring/electrical credentials</w:t>
            </w:r>
          </w:p>
        </w:tc>
      </w:tr>
      <w:tr>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Geographic stability</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Workers live locally, spend locally</w:t>
            </w:r>
          </w:p>
        </w:tc>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Construction crews imported, then leave</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Benefits</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Many offer health/retirement through operations</w:t>
            </w:r>
          </w:p>
        </w:tc>
        <w:tc>
          <w:tcPr>
            <w:tcW w:type="dxa" w:w="37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Minimal; 2–3 permanent positions per facility</w:t>
            </w:r>
          </w:p>
        </w:tc>
      </w:tr>
      <w:tr>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Career path</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Equipment operator → foreman → manager</w:t>
            </w:r>
          </w:p>
        </w:tc>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No progression; flat monitoring role</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Family formation</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Stable income supports homeownership</w:t>
            </w:r>
          </w:p>
        </w:tc>
        <w:tc>
          <w:tcPr>
            <w:tcW w:type="dxa" w:w="37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Displacement disrupts family economics</w:t>
            </w:r>
          </w:p>
        </w:tc>
      </w:tr>
      <w:tr>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Community rootedness</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Multigenerational; children stay</w:t>
            </w:r>
          </w:p>
        </w:tc>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Workers relocate; community thins</w:t>
            </w:r>
          </w:p>
        </w:tc>
      </w:tr>
    </w:tbl>
    <w:p>
      <w:pPr>
        <w:pStyle w:val="Heading2"/>
      </w:pPr>
      <w:r>
        <w:rPr>
          <w:rFonts w:ascii="Arial" w:cs="Arial" w:eastAsia="Arial" w:hAnsi="Arial"/>
          <w:sz w:val="24"/>
          <w:szCs w:val="24"/>
        </w:rPr>
        <w:t xml:space="preserve">C. The Government Dependency Question</w:t>
      </w:r>
    </w:p>
    <w:p>
      <w:pPr>
        <w:spacing w:after="200" w:line="276"/>
      </w:pPr>
      <w:r>
        <w:rPr>
          <w:rFonts w:ascii="Arial" w:cs="Arial" w:eastAsia="Arial" w:hAnsi="Arial"/>
          <w:b/>
          <w:bCs/>
          <w:sz w:val="24"/>
          <w:szCs w:val="24"/>
        </w:rPr>
        <w:t xml:space="preserve">Which economic path reduces dependency on government support?</w:t>
      </w:r>
    </w:p>
    <w:p>
      <w:pPr>
        <w:spacing w:after="200" w:line="276"/>
      </w:pPr>
      <w:r>
        <w:rPr>
          <w:rFonts w:ascii="Arial" w:cs="Arial" w:eastAsia="Arial" w:hAnsi="Arial"/>
          <w:sz w:val="24"/>
          <w:szCs w:val="24"/>
        </w:rPr>
        <w:t xml:space="preserve">Agriculture: A working farm family with two incomes from agricultural operations ($65,000–$90,000 combined) typically does not qualify for or require government assistance. They own or rent homes, pay property taxes, participate in local schools and churches, and contribute to civic life. The agricultural economy is self-sustaining—it generates its own demand, its own supply chain, and its own labor market without public subsidy to the workers.</w:t>
      </w:r>
    </w:p>
    <w:p>
      <w:pPr>
        <w:spacing w:after="200" w:line="276"/>
      </w:pPr>
      <w:r>
        <w:rPr>
          <w:rFonts w:ascii="Arial" w:cs="Arial" w:eastAsia="Arial" w:hAnsi="Arial"/>
          <w:sz w:val="24"/>
          <w:szCs w:val="24"/>
        </w:rPr>
        <w:t xml:space="preserve">Post-conversion: When 628 agricultural jobs disappear at 10% conversion and 96 energy jobs are created, 532 families experience income disruption. Working-class agricultural laborers without transferable technical credentials face:</w:t>
      </w:r>
    </w:p>
    <w:p>
      <w:pPr>
        <w:spacing w:after="200" w:line="276"/>
      </w:pPr>
      <w:r>
        <w:rPr>
          <w:rFonts w:ascii="Arial" w:cs="Arial" w:eastAsia="Arial" w:hAnsi="Arial"/>
          <w:b/>
          <w:bCs/>
          <w:sz w:val="24"/>
          <w:szCs w:val="24"/>
        </w:rPr>
        <w:t xml:space="preserve">Unemployment insurance: </w:t>
      </w:r>
      <w:r>
        <w:rPr>
          <w:rFonts w:ascii="Arial" w:cs="Arial" w:eastAsia="Arial" w:hAnsi="Arial"/>
          <w:sz w:val="24"/>
          <w:szCs w:val="24"/>
        </w:rPr>
        <w:t xml:space="preserve">Idaho UI benefits average $372/week for up to 20 weeks. For 532 displaced workers, that is $3.9 million in state UI expenditure in year one alone.</w:t>
      </w:r>
    </w:p>
    <w:p>
      <w:pPr>
        <w:spacing w:after="200" w:line="276"/>
      </w:pPr>
      <w:r>
        <w:rPr>
          <w:rFonts w:ascii="Arial" w:cs="Arial" w:eastAsia="Arial" w:hAnsi="Arial"/>
          <w:b/>
          <w:bCs/>
          <w:sz w:val="24"/>
          <w:szCs w:val="24"/>
        </w:rPr>
        <w:t xml:space="preserve">SNAP/food assistance: </w:t>
      </w:r>
      <w:r>
        <w:rPr>
          <w:rFonts w:ascii="Arial" w:cs="Arial" w:eastAsia="Arial" w:hAnsi="Arial"/>
          <w:sz w:val="24"/>
          <w:szCs w:val="24"/>
        </w:rPr>
        <w:t xml:space="preserve">A family of four with income below 130% of poverty ($40,560) qualifies for SNAP. Displaced ag workers earning $32,000–$40,000 frequently fall into this bracket, particularly if replacement work is part-time or seasonal.</w:t>
      </w:r>
    </w:p>
    <w:p>
      <w:pPr>
        <w:spacing w:after="200" w:line="276"/>
      </w:pPr>
      <w:r>
        <w:rPr>
          <w:rFonts w:ascii="Arial" w:cs="Arial" w:eastAsia="Arial" w:hAnsi="Arial"/>
          <w:b/>
          <w:bCs/>
          <w:sz w:val="24"/>
          <w:szCs w:val="24"/>
        </w:rPr>
        <w:t xml:space="preserve">Medicaid: </w:t>
      </w:r>
      <w:r>
        <w:rPr>
          <w:rFonts w:ascii="Arial" w:cs="Arial" w:eastAsia="Arial" w:hAnsi="Arial"/>
          <w:sz w:val="24"/>
          <w:szCs w:val="24"/>
        </w:rPr>
        <w:t xml:space="preserve">Families losing employer-linked health coverage may qualify for Medicaid or ACA subsidies—both taxpayer-funded.</w:t>
      </w:r>
    </w:p>
    <w:p>
      <w:pPr>
        <w:spacing w:after="200" w:line="276"/>
      </w:pPr>
      <w:r>
        <w:rPr>
          <w:rFonts w:ascii="Arial" w:cs="Arial" w:eastAsia="Arial" w:hAnsi="Arial"/>
          <w:b/>
          <w:bCs/>
          <w:sz w:val="24"/>
          <w:szCs w:val="24"/>
        </w:rPr>
        <w:t xml:space="preserve">Housing instability: </w:t>
      </w:r>
      <w:r>
        <w:rPr>
          <w:rFonts w:ascii="Arial" w:cs="Arial" w:eastAsia="Arial" w:hAnsi="Arial"/>
          <w:sz w:val="24"/>
          <w:szCs w:val="24"/>
        </w:rPr>
        <w:t xml:space="preserve">Mortgage default risk rises when primary income is disrupted. Foreclosure rates in rural communities correlate with agricultural sector contraction.</w:t>
      </w:r>
    </w:p>
    <w:p>
      <w:pPr>
        <w:spacing w:after="200" w:line="276"/>
      </w:pPr>
      <w:r>
        <w:rPr>
          <w:rFonts w:ascii="Arial" w:cs="Arial" w:eastAsia="Arial" w:hAnsi="Arial"/>
          <w:b/>
          <w:bCs/>
          <w:sz w:val="24"/>
          <w:szCs w:val="24"/>
        </w:rPr>
        <w:t xml:space="preserve">Outmigration: </w:t>
      </w:r>
      <w:r>
        <w:rPr>
          <w:rFonts w:ascii="Arial" w:cs="Arial" w:eastAsia="Arial" w:hAnsi="Arial"/>
          <w:sz w:val="24"/>
          <w:szCs w:val="24"/>
        </w:rPr>
        <w:t xml:space="preserve">Workers who cannot find local replacement employment leave the county. This reduces the tax base, school enrollment, and civic participation—accelerating the decline that conversion initiated.</w:t>
      </w:r>
    </w:p>
    <w:p>
      <w:pPr>
        <w:spacing w:after="200" w:line="276"/>
      </w:pPr>
      <w:r>
        <w:rPr>
          <w:rFonts w:ascii="Arial" w:cs="Arial" w:eastAsia="Arial" w:hAnsi="Arial"/>
          <w:b/>
          <w:bCs/>
          <w:sz w:val="24"/>
          <w:szCs w:val="24"/>
        </w:rPr>
        <w:t xml:space="preserve">The bottom line on family self-sufficiency: </w:t>
      </w:r>
      <w:r>
        <w:rPr>
          <w:rFonts w:ascii="Arial" w:cs="Arial" w:eastAsia="Arial" w:hAnsi="Arial"/>
          <w:sz w:val="24"/>
          <w:szCs w:val="24"/>
        </w:rPr>
        <w:t xml:space="preserve">Agriculture sustains working families without government subsidy to the workers. Energy conversion displaces those families into a labor market that has no comparable positions, drives government dependency through unemployment insurance, food assistance, and healthcare subsidies, and exports the economic benefit to out-of-state corporate shareholders. The policy that best supports family independence and reduces government dependency is the policy that preserves agricultural employment: hard limits on farmland conversion.</w:t>
      </w:r>
    </w:p>
    <w:p>
      <w:pPr>
        <w:pStyle w:val="Heading2"/>
      </w:pPr>
      <w:r>
        <w:rPr>
          <w:rFonts w:ascii="Arial" w:cs="Arial" w:eastAsia="Arial" w:hAnsi="Arial"/>
          <w:sz w:val="24"/>
          <w:szCs w:val="24"/>
        </w:rPr>
        <w:t xml:space="preserve">D. Utility Rate Burden on Working Families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2000"/>
        <w:gridCol w:w="2200"/>
        <w:gridCol w:w="1960"/>
      </w:tblGrid>
      <w:tr>
        <w:trPr>
          <w:tblHeader/>
        </w:trPr>
        <w:tc>
          <w:tcPr>
            <w:tcW w:type="dxa" w:w="32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Rate Impact</w:t>
            </w:r>
          </w:p>
        </w:tc>
        <w:tc>
          <w:tcPr>
            <w:tcW w:type="dxa" w:w="20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2021</w:t>
            </w:r>
          </w:p>
        </w:tc>
        <w:tc>
          <w:tcPr>
            <w:tcW w:type="dxa" w:w="22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2026</w:t>
            </w:r>
          </w:p>
        </w:tc>
        <w:tc>
          <w:tcPr>
            <w:tcW w:type="dxa" w:w="19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Change</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Idaho Power residential rate</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~$0.10/kWh</w:t>
            </w:r>
          </w:p>
        </w:tc>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~$0.115/kWh</w:t>
            </w:r>
          </w:p>
        </w:tc>
        <w:tc>
          <w:tcPr>
            <w:tcW w:type="dxa" w:w="19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+15%+</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Irrigation demand charge/kW</w:t>
            </w:r>
          </w:p>
        </w:tc>
        <w:tc>
          <w:tcPr>
            <w:tcW w:type="dxa" w:w="2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$6.94</w:t>
            </w:r>
          </w:p>
        </w:tc>
        <w:tc>
          <w:tcPr>
            <w:tcW w:type="dxa" w:w="2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$16.50</w:t>
            </w:r>
          </w:p>
        </w:tc>
        <w:tc>
          <w:tcPr>
            <w:tcW w:type="dxa" w:w="19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+138%</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Farm operation annual increase</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w:t>
            </w:r>
          </w:p>
        </w:tc>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+$73,000/year (reported)</w:t>
            </w:r>
          </w:p>
        </w:tc>
        <w:tc>
          <w:tcPr>
            <w:tcW w:type="dxa" w:w="19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Crushing</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Rural household annual energy cost</w:t>
            </w:r>
          </w:p>
        </w:tc>
        <w:tc>
          <w:tcPr>
            <w:tcW w:type="dxa" w:w="2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~$2,400</w:t>
            </w:r>
          </w:p>
        </w:tc>
        <w:tc>
          <w:tcPr>
            <w:tcW w:type="dxa" w:w="2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~$2,900+</w:t>
            </w:r>
          </w:p>
        </w:tc>
        <w:tc>
          <w:tcPr>
            <w:tcW w:type="dxa" w:w="19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+$500+/year</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Energy cost as % of $45K income</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5.3%</w:t>
            </w:r>
          </w:p>
        </w:tc>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6.4%+</w:t>
            </w:r>
          </w:p>
        </w:tc>
        <w:tc>
          <w:tcPr>
            <w:tcW w:type="dxa" w:w="19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Regressive burden</w:t>
            </w:r>
          </w:p>
        </w:tc>
      </w:tr>
    </w:tbl>
    <w:p>
      <w:pPr>
        <w:spacing w:after="200" w:line="276"/>
      </w:pPr>
      <w:r>
        <w:rPr>
          <w:rFonts w:ascii="Arial" w:cs="Arial" w:eastAsia="Arial" w:hAnsi="Arial"/>
          <w:sz w:val="24"/>
          <w:szCs w:val="24"/>
        </w:rPr>
        <w:t xml:space="preserve">Working families spend proportionally more of their income on energy than affluent households. Every rate increase driven by data center demand, grid expansion, or SWIP-N cost recovery is a regressive tax on the people least able to absorb it. The proposed ordinance’s Tier 3 review process is the only mechanism that gives the community a voice before these costs are imposed.</w:t>
      </w:r>
    </w:p>
    <w:p>
      <w:r>
        <w:br w:type="page"/>
      </w:r>
    </w:p>
    <w:p>
      <w:pPr>
        <w:pStyle w:val="Heading1"/>
      </w:pPr>
      <w:r>
        <w:rPr>
          <w:rFonts w:ascii="Arial" w:cs="Arial" w:eastAsia="Arial" w:hAnsi="Arial"/>
          <w:sz w:val="24"/>
          <w:szCs w:val="24"/>
        </w:rPr>
        <w:t xml:space="preserve">VII. Free-Market Analysis: Seven Market Distortions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4000"/>
        <w:gridCol w:w="2960"/>
      </w:tblGrid>
      <w:tr>
        <w:trPr>
          <w:tblHeader/>
        </w:trPr>
        <w:tc>
          <w:tcPr>
            <w:tcW w:type="dxa" w:w="2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Distortion</w:t>
            </w:r>
          </w:p>
        </w:tc>
        <w:tc>
          <w:tcPr>
            <w:tcW w:type="dxa" w:w="40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Effect</w:t>
            </w:r>
          </w:p>
        </w:tc>
        <w:tc>
          <w:tcPr>
            <w:tcW w:type="dxa" w:w="29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Who Pays</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Federal ITC (30%)</w:t>
            </w:r>
          </w:p>
        </w:tc>
        <w:tc>
          <w:tcPr>
            <w:tcW w:type="dxa" w:w="4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30% of $2.2B–$8.8B capex = $659M–$2.6B in tax credits</w:t>
            </w:r>
          </w:p>
        </w:tc>
        <w:tc>
          <w:tcPr>
            <w:tcW w:type="dxa" w:w="29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Federal taxpayers</w:t>
            </w:r>
          </w:p>
        </w:tc>
      </w:tr>
      <w:tr>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Idaho solar tax exemption (§63-602JJ)</w:t>
            </w:r>
          </w:p>
        </w:tc>
        <w:tc>
          <w:tcPr>
            <w:tcW w:type="dxa" w:w="4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Solar exempt from standard property tax</w:t>
            </w:r>
          </w:p>
        </w:tc>
        <w:tc>
          <w:tcPr>
            <w:tcW w:type="dxa" w:w="29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Other property taxpayers</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SWIP-N federal subsidy</w:t>
            </w:r>
          </w:p>
        </w:tc>
        <w:tc>
          <w:tcPr>
            <w:tcW w:type="dxa" w:w="4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$331M DOE funding</w:t>
            </w:r>
          </w:p>
        </w:tc>
        <w:tc>
          <w:tcPr>
            <w:tcW w:type="dxa" w:w="29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Federal taxpayers</w:t>
            </w:r>
          </w:p>
        </w:tc>
      </w:tr>
      <w:tr>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SWIP-N ratepayer cost recovery</w:t>
            </w:r>
          </w:p>
        </w:tc>
        <w:tc>
          <w:tcPr>
            <w:tcW w:type="dxa" w:w="4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Idaho Power recovers 23% of $1.23B from customers</w:t>
            </w:r>
          </w:p>
        </w:tc>
        <w:tc>
          <w:tcPr>
            <w:tcW w:type="dxa" w:w="29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All Idaho Power ratepayers</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Socialized grid expansion</w:t>
            </w:r>
          </w:p>
        </w:tc>
        <w:tc>
          <w:tcPr>
            <w:tcW w:type="dxa" w:w="4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7.48% rate increase + 138% irrigation demand increase</w:t>
            </w:r>
          </w:p>
        </w:tc>
        <w:tc>
          <w:tcPr>
            <w:tcW w:type="dxa" w:w="29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All ratepayers; farmers hardest hit</w:t>
            </w:r>
          </w:p>
        </w:tc>
      </w:tr>
      <w:tr>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No mandatory decommissioning bond</w:t>
            </w:r>
          </w:p>
        </w:tc>
        <w:tc>
          <w:tcPr>
            <w:tcW w:type="dxa" w:w="4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Cleanup liability externalized</w:t>
            </w:r>
          </w:p>
        </w:tc>
        <w:tc>
          <w:tcPr>
            <w:tcW w:type="dxa" w:w="29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County taxpayers (when LLC dissolves)</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No externality pricing</w:t>
            </w:r>
          </w:p>
        </w:tc>
        <w:tc>
          <w:tcPr>
            <w:tcW w:type="dxa" w:w="4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Ag loss, property values, water—none in developer cost</w:t>
            </w:r>
          </w:p>
        </w:tc>
        <w:tc>
          <w:tcPr>
            <w:tcW w:type="dxa" w:w="29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Neighboring landowners; community</w:t>
            </w:r>
          </w:p>
        </w:tc>
      </w:tr>
    </w:tbl>
    <w:p>
      <w:pPr>
        <w:spacing w:after="200" w:line="276"/>
      </w:pPr>
      <w:r>
        <w:rPr>
          <w:rFonts w:ascii="Arial" w:cs="Arial" w:eastAsia="Arial" w:hAnsi="Arial"/>
          <w:b/>
          <w:bCs/>
          <w:sz w:val="24"/>
          <w:szCs w:val="24"/>
        </w:rPr>
        <w:t xml:space="preserve">Conclusion: </w:t>
      </w:r>
      <w:r>
        <w:rPr>
          <w:rFonts w:ascii="Arial" w:cs="Arial" w:eastAsia="Arial" w:hAnsi="Arial"/>
          <w:sz w:val="24"/>
          <w:szCs w:val="24"/>
        </w:rPr>
        <w:t xml:space="preserve">This is not a free market. It is a subsidized system that externalizes costs to communities. If developers paid the true cost—lost ag production, property value compensation, decommissioning bonds, water impact fees, rate mitigation—few projects on prime farmland would pencil out.</w:t>
      </w:r>
    </w:p>
    <w:p>
      <w:r>
        <w:br w:type="page"/>
      </w:r>
    </w:p>
    <w:p>
      <w:pPr>
        <w:pStyle w:val="Heading1"/>
      </w:pPr>
      <w:r>
        <w:rPr>
          <w:rFonts w:ascii="Arial" w:cs="Arial" w:eastAsia="Arial" w:hAnsi="Arial"/>
          <w:sz w:val="24"/>
          <w:szCs w:val="24"/>
        </w:rPr>
        <w:t xml:space="preserve">VIII. Strategic Alignment: U.S., Idaho, and Local</w:t>
      </w:r>
    </w:p>
    <w:p>
      <w:pPr>
        <w:pStyle w:val="Heading2"/>
      </w:pPr>
      <w:r>
        <w:rPr>
          <w:rFonts w:ascii="Arial" w:cs="Arial" w:eastAsia="Arial" w:hAnsi="Arial"/>
          <w:sz w:val="24"/>
          <w:szCs w:val="24"/>
        </w:rPr>
        <w:t xml:space="preserve">A. United States</w:t>
      </w:r>
    </w:p>
    <w:p>
      <w:pPr>
        <w:spacing w:after="200" w:line="276"/>
      </w:pPr>
      <w:r>
        <w:rPr>
          <w:rFonts w:ascii="Arial" w:cs="Arial" w:eastAsia="Arial" w:hAnsi="Arial"/>
          <w:sz w:val="24"/>
          <w:szCs w:val="24"/>
        </w:rPr>
        <w:t xml:space="preserve">The FPPA (7 U.S.C. §4201) establishes national policy against irreversible farmland conversion. The U.S. has achieved energy self-sufficiency but not food supply chain resilience. Converting prime farmland to energy use trades a solved problem (energy) for an unsolved one (food security). The EPA has pre-screened 190,000+ acres of already-disturbed land. The IRA provides a 10% tax credit bonus for energy community siting. The federal framework actively directs development away from farmland—the industry simply prefers to ignore it because farmland is cheaper.</w:t>
      </w:r>
    </w:p>
    <w:p>
      <w:pPr>
        <w:pStyle w:val="Heading2"/>
      </w:pPr>
      <w:r>
        <w:rPr>
          <w:rFonts w:ascii="Arial" w:cs="Arial" w:eastAsia="Arial" w:hAnsi="Arial"/>
          <w:sz w:val="24"/>
          <w:szCs w:val="24"/>
        </w:rPr>
        <w:t xml:space="preserve">B. Idaho</w:t>
      </w:r>
    </w:p>
    <w:p>
      <w:pPr>
        <w:spacing w:after="200" w:line="276"/>
      </w:pPr>
      <w:r>
        <w:rPr>
          <w:rFonts w:ascii="Arial" w:cs="Arial" w:eastAsia="Arial" w:hAnsi="Arial"/>
          <w:sz w:val="24"/>
          <w:szCs w:val="24"/>
        </w:rPr>
        <w:t xml:space="preserve">SB 1133 (2025) prohibits solar/wind on APA lands. HCR032 (2026), which passed the Idaho House and is pending in the Senate at time of writing, declares harmful energy infrastructure “inconsistent with state policy.” IDWR’s ESPA curtailment framework prioritizes agricultural water. Idaho’s dairy industry contributes $7–11B annually. The state’s economic interest is unambiguously in agricultural preservation.</w:t>
      </w:r>
    </w:p>
    <w:p>
      <w:pPr>
        <w:pStyle w:val="Heading2"/>
      </w:pPr>
      <w:r>
        <w:rPr>
          <w:rFonts w:ascii="Arial" w:cs="Arial" w:eastAsia="Arial" w:hAnsi="Arial"/>
          <w:sz w:val="24"/>
          <w:szCs w:val="24"/>
        </w:rPr>
        <w:t xml:space="preserve">C. Jerome County</w:t>
      </w:r>
    </w:p>
    <w:p>
      <w:pPr>
        <w:spacing w:after="200" w:line="276"/>
      </w:pPr>
      <w:r>
        <w:rPr>
          <w:rFonts w:ascii="Arial" w:cs="Arial" w:eastAsia="Arial" w:hAnsi="Arial"/>
          <w:sz w:val="24"/>
          <w:szCs w:val="24"/>
        </w:rPr>
        <w:t xml:space="preserve">93.7% oppose large-scale energy in ag zones. 87.7% choose farmland over tax revenue. 80% say current guidelines are not strict enough. The community has delivered a near-unanimous mandate for protection. The proposed Chapter 11 ordinance implements that mandate.</w:t>
      </w:r>
    </w:p>
    <w:p>
      <w:r>
        <w:br w:type="page"/>
      </w:r>
    </w:p>
    <w:p>
      <w:pPr>
        <w:pStyle w:val="Heading1"/>
      </w:pPr>
      <w:r>
        <w:rPr>
          <w:rFonts w:ascii="Arial" w:cs="Arial" w:eastAsia="Arial" w:hAnsi="Arial"/>
          <w:sz w:val="24"/>
          <w:szCs w:val="24"/>
        </w:rPr>
        <w:t xml:space="preserve">IX. Hard Limits: Where Is the Line?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2400"/>
        <w:gridCol w:w="1200"/>
        <w:gridCol w:w="4160"/>
      </w:tblGrid>
      <w:tr>
        <w:trPr>
          <w:tblHeader/>
        </w:trPr>
        <w:tc>
          <w:tcPr>
            <w:tcW w:type="dxa" w:w="16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Threshold</w:t>
            </w:r>
          </w:p>
        </w:tc>
        <w:tc>
          <w:tcPr>
            <w:tcW w:type="dxa" w:w="2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Net Annual Loss</w:t>
            </w:r>
          </w:p>
        </w:tc>
        <w:tc>
          <w:tcPr>
            <w:tcW w:type="dxa" w:w="12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Net Jobs Lost</w:t>
            </w:r>
          </w:p>
        </w:tc>
        <w:tc>
          <w:tcPr>
            <w:tcW w:type="dxa" w:w="41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Assessment</w:t>
            </w:r>
          </w:p>
        </w:tc>
      </w:tr>
      <w:tr>
        <w:tc>
          <w:tcPr>
            <w:tcW w:type="dxa" w:w="1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0% on Class I/II</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$0</w:t>
            </w:r>
          </w:p>
        </w:tc>
        <w:tc>
          <w:tcPr>
            <w:tcW w:type="dxa" w:w="1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0</w:t>
            </w:r>
          </w:p>
        </w:tc>
        <w:tc>
          <w:tcPr>
            <w:tcW w:type="dxa" w:w="41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THE LINE. Maximizes ag value. Bannock County, SB 1133, HCR032 precedent. Legally defensible.</w:t>
            </w:r>
          </w:p>
        </w:tc>
      </w:tr>
      <w:tr>
        <w:tc>
          <w:tcPr>
            <w:tcW w:type="dxa" w:w="1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1–2% non-Class I/II</w:t>
            </w:r>
          </w:p>
        </w:tc>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$10–$26M</w:t>
            </w:r>
          </w:p>
        </w:tc>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50–120</w:t>
            </w:r>
          </w:p>
        </w:tc>
        <w:tc>
          <w:tcPr>
            <w:tcW w:type="dxa" w:w="41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Defensible if restricted to non-irrigated, non-Class I/II, with full conditions.</w:t>
            </w:r>
          </w:p>
        </w:tc>
      </w:tr>
      <w:tr>
        <w:tc>
          <w:tcPr>
            <w:tcW w:type="dxa" w:w="1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5%</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$26–$32M direct; $132M multiplied</w:t>
            </w:r>
          </w:p>
        </w:tc>
        <w:tc>
          <w:tcPr>
            <w:tcW w:type="dxa" w:w="1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266</w:t>
            </w:r>
          </w:p>
        </w:tc>
        <w:tc>
          <w:tcPr>
            <w:tcW w:type="dxa" w:w="4160"/>
            <w:tcBorders>
              <w:top w:val="single" w:color="CCCCCC" w:sz="1"/>
              <w:left w:val="single" w:color="CCCCCC" w:sz="1"/>
              <w:bottom w:val="single" w:color="CCCCCC" w:sz="1"/>
              <w:right w:val="single" w:color="CCCCCC" w:sz="1"/>
            </w:tcBorders>
            <w:shd w:fill="FFF3CD" w:val="clear"/>
            <w:tcMar>
              <w:top w:type="dxa" w:w="80"/>
              <w:left w:type="dxa" w:w="120"/>
              <w:bottom w:type="dxa" w:w="80"/>
              <w:right w:type="dxa" w:w="120"/>
            </w:tcMar>
          </w:tcPr>
          <w:p>
            <w:r>
              <w:rPr>
                <w:rFonts w:ascii="Arial" w:cs="Arial" w:eastAsia="Arial" w:hAnsi="Arial"/>
                <w:sz w:val="20"/>
                <w:szCs w:val="20"/>
              </w:rPr>
              <w:t xml:space="preserve">Material damage. Feed chain pressure begins. Not justified on Class I/II.</w:t>
            </w:r>
          </w:p>
        </w:tc>
      </w:tr>
      <w:tr>
        <w:tc>
          <w:tcPr>
            <w:tcW w:type="dxa" w:w="1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10%</w:t>
            </w:r>
          </w:p>
        </w:tc>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$52–$63M direct; $264M multiplied</w:t>
            </w:r>
          </w:p>
        </w:tc>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532</w:t>
            </w:r>
          </w:p>
        </w:tc>
        <w:tc>
          <w:tcPr>
            <w:tcW w:type="dxa" w:w="41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Structural damage. Dairy consolidation. Cluster economics weaken.</w:t>
            </w:r>
          </w:p>
        </w:tc>
      </w:tr>
      <w:tr>
        <w:tc>
          <w:tcPr>
            <w:tcW w:type="dxa" w:w="1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20%</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$104–$127M direct; $529M multiplied</w:t>
            </w:r>
          </w:p>
        </w:tc>
        <w:tc>
          <w:tcPr>
            <w:tcW w:type="dxa" w:w="1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1,067</w:t>
            </w:r>
          </w:p>
        </w:tc>
        <w:tc>
          <w:tcPr>
            <w:tcW w:type="dxa" w:w="4160"/>
            <w:tcBorders>
              <w:top w:val="single" w:color="CCCCCC" w:sz="1"/>
              <w:left w:val="single" w:color="CCCCCC" w:sz="1"/>
              <w:bottom w:val="single" w:color="CCCCCC" w:sz="1"/>
              <w:right w:val="single" w:color="CCCCCC" w:sz="1"/>
            </w:tcBorders>
            <w:shd w:fill="FDE8E8" w:val="clear"/>
            <w:tcMar>
              <w:top w:type="dxa" w:w="80"/>
              <w:left w:type="dxa" w:w="120"/>
              <w:bottom w:type="dxa" w:w="80"/>
              <w:right w:type="dxa" w:w="120"/>
            </w:tcMar>
          </w:tcPr>
          <w:p>
            <w:r>
              <w:rPr>
                <w:rFonts w:ascii="Arial" w:cs="Arial" w:eastAsia="Arial" w:hAnsi="Arial"/>
                <w:sz w:val="20"/>
                <w:szCs w:val="20"/>
              </w:rPr>
              <w:t xml:space="preserve">Catastrophic. Irreversible. Economic identity destroyed.</w:t>
            </w:r>
          </w:p>
        </w:tc>
      </w:tr>
    </w:tbl>
    <w:p>
      <w:pPr>
        <w:pStyle w:val="Heading2"/>
      </w:pPr>
      <w:r>
        <w:rPr>
          <w:rFonts w:ascii="Arial" w:cs="Arial" w:eastAsia="Arial" w:hAnsi="Arial"/>
          <w:sz w:val="24"/>
          <w:szCs w:val="24"/>
        </w:rPr>
        <w:t xml:space="preserve">Total Ban Analysis</w:t>
      </w:r>
    </w:p>
    <w:p>
      <w:pPr>
        <w:spacing w:after="200" w:line="276"/>
      </w:pPr>
      <w:r>
        <w:rPr>
          <w:rFonts w:ascii="Arial" w:cs="Arial" w:eastAsia="Arial" w:hAnsi="Arial"/>
          <w:sz w:val="24"/>
          <w:szCs w:val="24"/>
        </w:rPr>
        <w:t xml:space="preserve">A total ban on energy facilities on Class I/II irrigated farmland is economically justified (energy returns $1,588/acre vs. agriculture’s $6,013), legally defensible (Bannock County, Cecil/Montgomery County MD, SB 1133, Penn Central), strategically aligned (FPPA, HCR032, community survey), and NOT anti-energy. It directs development to appropriate locations: industrial zones, brownfields, substations, and already-disturbed land. The Chapter 11 tiered framework accomplishes this—Tier 1 personal systems are permitted everywhere.</w:t>
      </w:r>
    </w:p>
    <w:p>
      <w:r>
        <w:br w:type="page"/>
      </w:r>
    </w:p>
    <w:p>
      <w:pPr>
        <w:pStyle w:val="Heading1"/>
      </w:pPr>
      <w:r>
        <w:rPr>
          <w:rFonts w:ascii="Arial" w:cs="Arial" w:eastAsia="Arial" w:hAnsi="Arial"/>
          <w:sz w:val="24"/>
          <w:szCs w:val="24"/>
        </w:rPr>
        <w:t xml:space="preserve">X. Questions That Must Be Answered Before Any Farmland Conversion</w:t>
      </w:r>
    </w:p>
    <w:p>
      <w:pPr>
        <w:pStyle w:val="Heading2"/>
      </w:pPr>
      <w:r>
        <w:rPr>
          <w:rFonts w:ascii="Arial" w:cs="Arial" w:eastAsia="Arial" w:hAnsi="Arial"/>
          <w:sz w:val="24"/>
          <w:szCs w:val="24"/>
        </w:rPr>
        <w:t xml:space="preserve">A. Economic Questions</w:t>
      </w:r>
    </w:p>
    <w:p>
      <w:pPr>
        <w:spacing w:after="80"/>
        <w:ind w:left="360"/>
      </w:pPr>
      <w:r>
        <w:rPr>
          <w:rFonts w:ascii="Arial" w:cs="Arial" w:eastAsia="Arial" w:hAnsi="Arial"/>
          <w:sz w:val="24"/>
          <w:szCs w:val="24"/>
        </w:rPr>
        <w:t xml:space="preserve">1.  What is the annual agricultural production value of the specific acres proposed for conversion?</w:t>
      </w:r>
    </w:p>
    <w:p>
      <w:pPr>
        <w:spacing w:after="80"/>
        <w:ind w:left="360"/>
      </w:pPr>
      <w:r>
        <w:rPr>
          <w:rFonts w:ascii="Arial" w:cs="Arial" w:eastAsia="Arial" w:hAnsi="Arial"/>
          <w:sz w:val="24"/>
          <w:szCs w:val="24"/>
        </w:rPr>
        <w:t xml:space="preserve">2.  What is the dairy feed supply chain impact—how many dairy operations depend on feed from these acres?</w:t>
      </w:r>
    </w:p>
    <w:p>
      <w:pPr>
        <w:spacing w:after="80"/>
        <w:ind w:left="360"/>
      </w:pPr>
      <w:r>
        <w:rPr>
          <w:rFonts w:ascii="Arial" w:cs="Arial" w:eastAsia="Arial" w:hAnsi="Arial"/>
          <w:sz w:val="24"/>
          <w:szCs w:val="24"/>
        </w:rPr>
        <w:t xml:space="preserve">3.  What is the net job impact—how many agricultural jobs will be eliminated vs. permanent energy jobs created?</w:t>
      </w:r>
    </w:p>
    <w:p>
      <w:pPr>
        <w:spacing w:after="80"/>
        <w:ind w:left="360"/>
      </w:pPr>
      <w:r>
        <w:rPr>
          <w:rFonts w:ascii="Arial" w:cs="Arial" w:eastAsia="Arial" w:hAnsi="Arial"/>
          <w:sz w:val="24"/>
          <w:szCs w:val="24"/>
        </w:rPr>
        <w:t xml:space="preserve">4.  What is the total developer revenue vs. the amount that stays in Jerome County?</w:t>
      </w:r>
    </w:p>
    <w:p>
      <w:pPr>
        <w:spacing w:after="80"/>
        <w:ind w:left="360"/>
      </w:pPr>
      <w:r>
        <w:rPr>
          <w:rFonts w:ascii="Arial" w:cs="Arial" w:eastAsia="Arial" w:hAnsi="Arial"/>
          <w:sz w:val="24"/>
          <w:szCs w:val="24"/>
        </w:rPr>
        <w:t xml:space="preserve">5.  What are the utility rate implications for existing ratepayers, including farmers?</w:t>
      </w:r>
    </w:p>
    <w:p>
      <w:pPr>
        <w:spacing w:after="80"/>
        <w:ind w:left="360"/>
      </w:pPr>
      <w:r>
        <w:rPr>
          <w:rFonts w:ascii="Arial" w:cs="Arial" w:eastAsia="Arial" w:hAnsi="Arial"/>
          <w:sz w:val="24"/>
          <w:szCs w:val="24"/>
        </w:rPr>
        <w:t xml:space="preserve">6.  Has the developer provided an independently verified fiscal impact analysis, not one prepared by the developer’s consultants?</w:t>
      </w:r>
    </w:p>
    <w:p>
      <w:pPr>
        <w:pStyle w:val="Heading2"/>
      </w:pPr>
      <w:r>
        <w:rPr>
          <w:rFonts w:ascii="Arial" w:cs="Arial" w:eastAsia="Arial" w:hAnsi="Arial"/>
          <w:sz w:val="24"/>
          <w:szCs w:val="24"/>
        </w:rPr>
        <w:t xml:space="preserve">B. Safety and Environmental Questions</w:t>
      </w:r>
    </w:p>
    <w:p>
      <w:pPr>
        <w:spacing w:after="80"/>
        <w:ind w:left="360"/>
      </w:pPr>
      <w:r>
        <w:rPr>
          <w:rFonts w:ascii="Arial" w:cs="Arial" w:eastAsia="Arial" w:hAnsi="Arial"/>
          <w:sz w:val="24"/>
          <w:szCs w:val="24"/>
        </w:rPr>
        <w:t xml:space="preserve">7.  What battery chemistry will be deployed—LFP, NMC, or NCA?</w:t>
      </w:r>
    </w:p>
    <w:p>
      <w:pPr>
        <w:spacing w:after="80"/>
        <w:ind w:left="360"/>
      </w:pPr>
      <w:r>
        <w:rPr>
          <w:rFonts w:ascii="Arial" w:cs="Arial" w:eastAsia="Arial" w:hAnsi="Arial"/>
          <w:sz w:val="24"/>
          <w:szCs w:val="24"/>
        </w:rPr>
        <w:t xml:space="preserve">8.  What is the fire department’s assessed capacity to respond to a multi-day lithium-ion thermal runaway?</w:t>
      </w:r>
    </w:p>
    <w:p>
      <w:pPr>
        <w:spacing w:after="80"/>
        <w:ind w:left="360"/>
      </w:pPr>
      <w:r>
        <w:rPr>
          <w:rFonts w:ascii="Arial" w:cs="Arial" w:eastAsia="Arial" w:hAnsi="Arial"/>
          <w:sz w:val="24"/>
          <w:szCs w:val="24"/>
        </w:rPr>
        <w:t xml:space="preserve">9.  What toxic gases are produced during thermal runaway (HF, CO, methane, ethylene) and at what concentrations?</w:t>
      </w:r>
    </w:p>
    <w:p>
      <w:pPr>
        <w:spacing w:after="80"/>
        <w:ind w:left="360"/>
      </w:pPr>
      <w:r>
        <w:rPr>
          <w:rFonts w:ascii="Arial" w:cs="Arial" w:eastAsia="Arial" w:hAnsi="Arial"/>
          <w:sz w:val="24"/>
          <w:szCs w:val="24"/>
        </w:rPr>
        <w:t xml:space="preserve">10. What is the evacuation plan and radius?</w:t>
      </w:r>
    </w:p>
    <w:p>
      <w:pPr>
        <w:spacing w:after="80"/>
        <w:ind w:left="360"/>
      </w:pPr>
      <w:r>
        <w:rPr>
          <w:rFonts w:ascii="Arial" w:cs="Arial" w:eastAsia="Arial" w:hAnsi="Arial"/>
          <w:sz w:val="24"/>
          <w:szCs w:val="24"/>
        </w:rPr>
        <w:t xml:space="preserve">11. Has the developer disclosed all BESS fire incidents at its facilities worldwide?</w:t>
      </w:r>
    </w:p>
    <w:p>
      <w:pPr>
        <w:spacing w:after="80"/>
        <w:ind w:left="360"/>
      </w:pPr>
      <w:r>
        <w:rPr>
          <w:rFonts w:ascii="Arial" w:cs="Arial" w:eastAsia="Arial" w:hAnsi="Arial"/>
          <w:sz w:val="24"/>
          <w:szCs w:val="24"/>
        </w:rPr>
        <w:t xml:space="preserve">12. What is the BMS manufacturer, firmware version, and cybersecurity certification?</w:t>
      </w:r>
    </w:p>
    <w:p>
      <w:pPr>
        <w:pStyle w:val="Heading2"/>
      </w:pPr>
      <w:r>
        <w:rPr>
          <w:rFonts w:ascii="Arial" w:cs="Arial" w:eastAsia="Arial" w:hAnsi="Arial"/>
          <w:sz w:val="24"/>
          <w:szCs w:val="24"/>
        </w:rPr>
        <w:t xml:space="preserve">C. Financial Protection Questions</w:t>
      </w:r>
    </w:p>
    <w:p>
      <w:pPr>
        <w:spacing w:after="80"/>
        <w:ind w:left="360"/>
      </w:pPr>
      <w:r>
        <w:rPr>
          <w:rFonts w:ascii="Arial" w:cs="Arial" w:eastAsia="Arial" w:hAnsi="Arial"/>
          <w:sz w:val="24"/>
          <w:szCs w:val="24"/>
        </w:rPr>
        <w:t xml:space="preserve">13. What is the decommissioning bond amount and who holds it?</w:t>
      </w:r>
    </w:p>
    <w:p>
      <w:pPr>
        <w:spacing w:after="80"/>
        <w:ind w:left="360"/>
      </w:pPr>
      <w:r>
        <w:rPr>
          <w:rFonts w:ascii="Arial" w:cs="Arial" w:eastAsia="Arial" w:hAnsi="Arial"/>
          <w:sz w:val="24"/>
          <w:szCs w:val="24"/>
        </w:rPr>
        <w:t xml:space="preserve">14. What happens to the bond if the project LLC is dissolved, sold, or goes bankrupt?</w:t>
      </w:r>
    </w:p>
    <w:p>
      <w:pPr>
        <w:spacing w:after="80"/>
        <w:ind w:left="360"/>
      </w:pPr>
      <w:r>
        <w:rPr>
          <w:rFonts w:ascii="Arial" w:cs="Arial" w:eastAsia="Arial" w:hAnsi="Arial"/>
          <w:sz w:val="24"/>
          <w:szCs w:val="24"/>
        </w:rPr>
        <w:t xml:space="preserve">15. Is the bond amount based on an independent county-commissioned estimate or the developer’s self-assessment?</w:t>
      </w:r>
    </w:p>
    <w:p>
      <w:pPr>
        <w:spacing w:after="80"/>
        <w:ind w:left="360"/>
      </w:pPr>
      <w:r>
        <w:rPr>
          <w:rFonts w:ascii="Arial" w:cs="Arial" w:eastAsia="Arial" w:hAnsi="Arial"/>
          <w:sz w:val="24"/>
          <w:szCs w:val="24"/>
        </w:rPr>
        <w:t xml:space="preserve">16. What insurance coverage exists for environmental contamination from electrolyte leakage?</w:t>
      </w:r>
    </w:p>
    <w:p>
      <w:pPr>
        <w:spacing w:after="80"/>
        <w:ind w:left="360"/>
      </w:pPr>
      <w:r>
        <w:rPr>
          <w:rFonts w:ascii="Arial" w:cs="Arial" w:eastAsia="Arial" w:hAnsi="Arial"/>
          <w:sz w:val="24"/>
          <w:szCs w:val="24"/>
        </w:rPr>
        <w:t xml:space="preserve">17. Who pays for soil remediation if heavy metals are deposited during a fire?</w:t>
      </w:r>
    </w:p>
    <w:p>
      <w:pPr>
        <w:pStyle w:val="Heading2"/>
      </w:pPr>
      <w:r>
        <w:rPr>
          <w:rFonts w:ascii="Arial" w:cs="Arial" w:eastAsia="Arial" w:hAnsi="Arial"/>
          <w:sz w:val="24"/>
          <w:szCs w:val="24"/>
        </w:rPr>
        <w:t xml:space="preserve">D. Transparency and Ownership Questions</w:t>
      </w:r>
    </w:p>
    <w:p>
      <w:pPr>
        <w:spacing w:after="80"/>
        <w:ind w:left="360"/>
      </w:pPr>
      <w:r>
        <w:rPr>
          <w:rFonts w:ascii="Arial" w:cs="Arial" w:eastAsia="Arial" w:hAnsi="Arial"/>
          <w:sz w:val="24"/>
          <w:szCs w:val="24"/>
        </w:rPr>
        <w:t xml:space="preserve">18. Who is the ultimate beneficial owner of the project entity?</w:t>
      </w:r>
    </w:p>
    <w:p>
      <w:pPr>
        <w:spacing w:after="80"/>
        <w:ind w:left="360"/>
      </w:pPr>
      <w:r>
        <w:rPr>
          <w:rFonts w:ascii="Arial" w:cs="Arial" w:eastAsia="Arial" w:hAnsi="Arial"/>
          <w:sz w:val="24"/>
          <w:szCs w:val="24"/>
        </w:rPr>
        <w:t xml:space="preserve">19. What institutional shareholders (BlackRock, Vanguard, State Street) own both the developer and the utility purchasing the power?</w:t>
      </w:r>
    </w:p>
    <w:p>
      <w:pPr>
        <w:spacing w:after="80"/>
        <w:ind w:left="360"/>
      </w:pPr>
      <w:r>
        <w:rPr>
          <w:rFonts w:ascii="Arial" w:cs="Arial" w:eastAsia="Arial" w:hAnsi="Arial"/>
          <w:sz w:val="24"/>
          <w:szCs w:val="24"/>
        </w:rPr>
        <w:t xml:space="preserve">20. What is the projected revenue breakdown: arbitrage vs. ancillary services vs. capacity payments?</w:t>
      </w:r>
    </w:p>
    <w:p>
      <w:pPr>
        <w:spacing w:after="80"/>
        <w:ind w:left="360"/>
      </w:pPr>
      <w:r>
        <w:rPr>
          <w:rFonts w:ascii="Arial" w:cs="Arial" w:eastAsia="Arial" w:hAnsi="Arial"/>
          <w:sz w:val="24"/>
          <w:szCs w:val="24"/>
        </w:rPr>
        <w:t xml:space="preserve">21. What PILOT, TIF, or tax abatement agreements are being sought?</w:t>
      </w:r>
    </w:p>
    <w:p>
      <w:pPr>
        <w:spacing w:after="80"/>
        <w:ind w:left="360"/>
      </w:pPr>
      <w:r>
        <w:rPr>
          <w:rFonts w:ascii="Arial" w:cs="Arial" w:eastAsia="Arial" w:hAnsi="Arial"/>
          <w:sz w:val="24"/>
          <w:szCs w:val="24"/>
        </w:rPr>
        <w:t xml:space="preserve">22. Has the developer provided written disclosure of all litigation, regulatory actions, and community opposition at other project sites?</w:t>
      </w:r>
    </w:p>
    <w:p>
      <w:pPr>
        <w:pStyle w:val="Heading2"/>
      </w:pPr>
      <w:r>
        <w:rPr>
          <w:rFonts w:ascii="Arial" w:cs="Arial" w:eastAsia="Arial" w:hAnsi="Arial"/>
          <w:sz w:val="24"/>
          <w:szCs w:val="24"/>
        </w:rPr>
        <w:t xml:space="preserve">E. Community Impact Questions</w:t>
      </w:r>
    </w:p>
    <w:p>
      <w:pPr>
        <w:spacing w:after="80"/>
        <w:ind w:left="360"/>
      </w:pPr>
      <w:r>
        <w:rPr>
          <w:rFonts w:ascii="Arial" w:cs="Arial" w:eastAsia="Arial" w:hAnsi="Arial"/>
          <w:sz w:val="24"/>
          <w:szCs w:val="24"/>
        </w:rPr>
        <w:t xml:space="preserve">23. What is the property value impact on homes within 1, 2, and 3 miles?</w:t>
      </w:r>
    </w:p>
    <w:p>
      <w:pPr>
        <w:spacing w:after="80"/>
        <w:ind w:left="360"/>
      </w:pPr>
      <w:r>
        <w:rPr>
          <w:rFonts w:ascii="Arial" w:cs="Arial" w:eastAsia="Arial" w:hAnsi="Arial"/>
          <w:sz w:val="24"/>
          <w:szCs w:val="24"/>
        </w:rPr>
        <w:t xml:space="preserve">24. What compensation mechanism exists for non-participating landowners whose property values decline?</w:t>
      </w:r>
    </w:p>
    <w:p>
      <w:pPr>
        <w:spacing w:after="80"/>
        <w:ind w:left="360"/>
      </w:pPr>
      <w:r>
        <w:rPr>
          <w:rFonts w:ascii="Arial" w:cs="Arial" w:eastAsia="Arial" w:hAnsi="Arial"/>
          <w:sz w:val="24"/>
          <w:szCs w:val="24"/>
        </w:rPr>
        <w:t xml:space="preserve">25. What is the noise level at the nearest residence and does it exceed WHO nighttime guidelines (40 dBA)?</w:t>
      </w:r>
    </w:p>
    <w:p>
      <w:pPr>
        <w:spacing w:after="80"/>
        <w:ind w:left="360"/>
      </w:pPr>
      <w:r>
        <w:rPr>
          <w:rFonts w:ascii="Arial" w:cs="Arial" w:eastAsia="Arial" w:hAnsi="Arial"/>
          <w:sz w:val="24"/>
          <w:szCs w:val="24"/>
        </w:rPr>
        <w:t xml:space="preserve">26. What is the visual impact and has a viewshed analysis been conducted?</w:t>
      </w:r>
    </w:p>
    <w:p>
      <w:pPr>
        <w:spacing w:after="80"/>
        <w:ind w:left="360"/>
      </w:pPr>
      <w:r>
        <w:rPr>
          <w:rFonts w:ascii="Arial" w:cs="Arial" w:eastAsia="Arial" w:hAnsi="Arial"/>
          <w:sz w:val="24"/>
          <w:szCs w:val="24"/>
        </w:rPr>
        <w:t xml:space="preserve">27. Has county-wide notification been provided to all residents within the documented impact footprint?</w:t>
      </w:r>
    </w:p>
    <w:p>
      <w:pPr>
        <w:spacing w:after="80"/>
        <w:ind w:left="360"/>
      </w:pPr>
      <w:r>
        <w:rPr>
          <w:rFonts w:ascii="Arial" w:cs="Arial" w:eastAsia="Arial" w:hAnsi="Arial"/>
          <w:sz w:val="24"/>
          <w:szCs w:val="24"/>
        </w:rPr>
        <w:t xml:space="preserve">28. What is the water consumption for BESS cooling and how does it affect ESPA allocations?</w:t>
      </w:r>
    </w:p>
    <w:p>
      <w:pPr>
        <w:pStyle w:val="Heading2"/>
      </w:pPr>
      <w:r>
        <w:rPr>
          <w:rFonts w:ascii="Arial" w:cs="Arial" w:eastAsia="Arial" w:hAnsi="Arial"/>
          <w:sz w:val="24"/>
          <w:szCs w:val="24"/>
        </w:rPr>
        <w:t xml:space="preserve">F. Strategic Questions</w:t>
      </w:r>
    </w:p>
    <w:p>
      <w:pPr>
        <w:spacing w:after="80"/>
        <w:ind w:left="360"/>
      </w:pPr>
      <w:r>
        <w:rPr>
          <w:rFonts w:ascii="Arial" w:cs="Arial" w:eastAsia="Arial" w:hAnsi="Arial"/>
          <w:sz w:val="24"/>
          <w:szCs w:val="24"/>
        </w:rPr>
        <w:t xml:space="preserve">29. Is this facility primarily for grid conditioning (5–25 MW near a substation) or energy arbitrage (200+ MW on farmland)?</w:t>
      </w:r>
    </w:p>
    <w:p>
      <w:pPr>
        <w:spacing w:after="80"/>
        <w:ind w:left="360"/>
      </w:pPr>
      <w:r>
        <w:rPr>
          <w:rFonts w:ascii="Arial" w:cs="Arial" w:eastAsia="Arial" w:hAnsi="Arial"/>
          <w:sz w:val="24"/>
          <w:szCs w:val="24"/>
        </w:rPr>
        <w:t xml:space="preserve">30. Could this facility be sited on already-disturbed land, industrial zones, or at substations?</w:t>
      </w:r>
    </w:p>
    <w:p>
      <w:pPr>
        <w:spacing w:after="80"/>
        <w:ind w:left="360"/>
      </w:pPr>
      <w:r>
        <w:rPr>
          <w:rFonts w:ascii="Arial" w:cs="Arial" w:eastAsia="Arial" w:hAnsi="Arial"/>
          <w:sz w:val="24"/>
          <w:szCs w:val="24"/>
        </w:rPr>
        <w:t xml:space="preserve">31. Does this project align with Idaho’s HCR032 and SB 1133?</w:t>
      </w:r>
    </w:p>
    <w:p>
      <w:pPr>
        <w:spacing w:after="80"/>
        <w:ind w:left="360"/>
      </w:pPr>
      <w:r>
        <w:rPr>
          <w:rFonts w:ascii="Arial" w:cs="Arial" w:eastAsia="Arial" w:hAnsi="Arial"/>
          <w:sz w:val="24"/>
          <w:szCs w:val="24"/>
        </w:rPr>
        <w:t xml:space="preserve">32. What is the 20-year cumulative impact if this project sets a precedent for additional applications?</w:t>
      </w:r>
    </w:p>
    <w:p>
      <w:pPr>
        <w:spacing w:after="80"/>
        <w:ind w:left="360"/>
      </w:pPr>
      <w:r>
        <w:rPr>
          <w:rFonts w:ascii="Arial" w:cs="Arial" w:eastAsia="Arial" w:hAnsi="Arial"/>
          <w:sz w:val="24"/>
          <w:szCs w:val="24"/>
        </w:rPr>
        <w:t xml:space="preserve">33. Has an independent (not developer-funded) technical expert reviewed this proposal?</w:t>
      </w:r>
    </w:p>
    <w:p>
      <w:r>
        <w:br w:type="page"/>
      </w:r>
    </w:p>
    <w:p>
      <w:pPr>
        <w:pStyle w:val="Heading1"/>
      </w:pPr>
      <w:r>
        <w:rPr>
          <w:rFonts w:ascii="Arial" w:cs="Arial" w:eastAsia="Arial" w:hAnsi="Arial"/>
          <w:sz w:val="24"/>
          <w:szCs w:val="24"/>
        </w:rPr>
        <w:t xml:space="preserve">XI. Anticipated Objections and Responses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Objection</w:t>
            </w:r>
          </w:p>
        </w:tc>
        <w:tc>
          <w:tcPr>
            <w:tcW w:type="dxa" w:w="65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Response</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"We need the tax revenue."</w:t>
            </w:r>
          </w:p>
        </w:tc>
        <w:tc>
          <w:tcPr>
            <w:tcW w:type="dxa" w:w="6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Jerome County’s $944M ag economy already provides a stable, self-sustaining tax base. The county is not in fiscal distress. Idaho’s solar tax (§63-602JJ) yields 3.5% of gross earnings—far less than standard industrial property tax rates. The net tax gain of $2.6–$4.5M (5% scenario) does not compensate for $47.2M in lost agricultural production, 266 lost jobs, and $3.3M in property value damage to neighboring homes.</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"It creates jobs."</w:t>
            </w:r>
          </w:p>
        </w:tc>
        <w:tc>
          <w:tcPr>
            <w:tcW w:type="dxa" w:w="6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Energy facilities create 2–3 permanent jobs per 500-acre facility. Agriculture supports 40+ jobs per 1,000 acres. At every conversion threshold, energy development is a massive net job destroyer—not a job creator. The construction jobs (12–18 months) are filled by imported crews, not local workers.</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"The land can be returned."</w:t>
            </w:r>
          </w:p>
        </w:tc>
        <w:tc>
          <w:tcPr>
            <w:tcW w:type="dxa" w:w="6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USDA NRCS (2024) documents six categories of soil damage. Welsh Government (2023) finds 18–30 year recovery to permanent. NC State (2021) documents 20–40% yield loss for 3–5 years post-decommission. The federal FPPA uses the term “irreversible conversion.” No peer-reviewed study supports the “reversible” claim.</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"Property rights allow it."</w:t>
            </w:r>
          </w:p>
        </w:tc>
        <w:tc>
          <w:tcPr>
            <w:tcW w:type="dxa" w:w="6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Property rights are not absolute. Euclid v. Ambler (1926), Penn Central (1978), and Idaho’s LLUPA all affirm the police power to regulate for public welfare. Agricultural zoning already prohibits factories, retail, and high-density housing on farmland. The same principle applies to industrial energy facilities. SB 1133 established a categorical prohibition on APA lands.</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"It’s a free market decision."</w:t>
            </w:r>
          </w:p>
        </w:tc>
        <w:tc>
          <w:tcPr>
            <w:tcW w:type="dxa" w:w="6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It is not. The market is distorted by 30% federal ITC, state property tax exemptions, $331M SWIP-N subsidy, socialized grid costs, and zero externality pricing. Developers choose farmland because the subsidies and externalization make it cheapest—not because it is the highest and best use.</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"A ban is too extreme."</w:t>
            </w:r>
          </w:p>
        </w:tc>
        <w:tc>
          <w:tcPr>
            <w:tcW w:type="dxa" w:w="6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Bannock County enacted a total ban. Cecil and Montgomery Counties (MD) prohibit siting on Class I/II soils. SB 1133 prohibits solar/wind on APA lands. HCR032 declares harmful energy infrastructure “inconsistent with state policy.” A Class I/II prohibition is the national mainstream, not an outlier. And it is not anti-energy—it directs development to appropriate sites.</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"Building on lava fields is too expensive."</w:t>
            </w:r>
          </w:p>
        </w:tc>
        <w:tc>
          <w:tcPr>
            <w:tcW w:type="dxa" w:w="6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That is the developer’s preference, not the community’s obligation. The EPA has screened 190,000+ acres of brownfields. 624+ brightfield projects operate nationally. The IRA provides a 10% bonus for energy community siting. The cost argument says developers prefer destroying farmland because it’s cheaper—not that alternatives don’t exist.</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"Farmers should be free to lease their land."</w:t>
            </w:r>
          </w:p>
        </w:tc>
        <w:tc>
          <w:tcPr>
            <w:tcW w:type="dxa" w:w="6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A farmer who leases irrigated cropland for 30 years permanently removes that acreage from the feed supply, depresses adjacent agricultural values, and shifts externalities onto non-participating neighbors. The county’s role is to protect the collective agricultural interest—not facilitate individual transactions that undermine it. Every zoning ordinance limits what owners can do with their land. That is the purpose of land use planning.</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0"/>
                <w:szCs w:val="20"/>
              </w:rPr>
              <w:t xml:space="preserve">"The CUP process is adequate."</w:t>
            </w:r>
          </w:p>
        </w:tc>
        <w:tc>
          <w:tcPr>
            <w:tcW w:type="dxa" w:w="6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After the P&amp;Z’s three votes, the CUP contains zero BESS-specific protections: no fire safety requirements, no setbacks, no decommissioning bonds, no chemistry disclosure, no environmental assessment, no emergency response funding. The P&amp;Z removed property value impact (7-6.02(C)) as a CUP factor. The “control” is illusory.</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sz w:val="20"/>
                <w:szCs w:val="20"/>
              </w:rPr>
              <w:t xml:space="preserve">"Fires have dropped 98%."</w:t>
            </w:r>
          </w:p>
        </w:tc>
        <w:tc>
          <w:tcPr>
            <w:tcW w:type="dxa" w:w="6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Unsourced. Contradicted by Moss Landing (Jan 2025), NextEra East Hampton (May 2023), Otay Mesa (May 2024), Warwick NY (three incidents 2023–2025), and the EPRI database of 81+ incidents. The metric “incidents per cumulative GW deployed” is challenged because it counts all previously deployed capacity in the denominator, including facilities too new to have failed.</w:t>
            </w:r>
          </w:p>
        </w:tc>
      </w:tr>
    </w:tbl>
    <w:p>
      <w:r>
        <w:br w:type="page"/>
      </w:r>
    </w:p>
    <w:p>
      <w:pPr>
        <w:pStyle w:val="Heading1"/>
      </w:pPr>
      <w:r>
        <w:rPr>
          <w:rFonts w:ascii="Arial" w:cs="Arial" w:eastAsia="Arial" w:hAnsi="Arial"/>
          <w:sz w:val="24"/>
          <w:szCs w:val="24"/>
        </w:rPr>
        <w:t xml:space="preserve">XII. Distribution List: Affected Organizations and Officials</w:t>
      </w:r>
    </w:p>
    <w:p>
      <w:pPr>
        <w:spacing w:after="200" w:line="276"/>
      </w:pPr>
      <w:r>
        <w:rPr>
          <w:rFonts w:ascii="Arial" w:cs="Arial" w:eastAsia="Arial" w:hAnsi="Arial"/>
          <w:sz w:val="24"/>
          <w:szCs w:val="24"/>
        </w:rPr>
        <w:t xml:space="preserve">The following organizations, elected officials, and industry stakeholders have a direct interest in the economic, agricultural, and policy implications of farmland conversion in Jerome County and the Magic Valley. This document should be made available to each for review, comment, and action as appropriate.</w:t>
      </w:r>
    </w:p>
    <w:p>
      <w:pPr>
        <w:spacing w:after="200" w:line="276"/>
      </w:pPr>
      <w:r>
        <w:rPr>
          <w:rFonts w:ascii="Arial" w:cs="Arial" w:eastAsia="Arial" w:hAnsi="Arial"/>
          <w:i/>
          <w:iCs/>
          <w:sz w:val="24"/>
          <w:szCs w:val="24"/>
        </w:rPr>
        <w:t xml:space="preserve">Verification status: Each entry indicates when contact information was last verified and the source used. Entries marked “Verified” were confirmed via official government websites or organizational directories as of March 2026. Entries marked “Last known good” use the most recent publicly available data. All Idaho legislative emails follow the format firstinitial+lastname@senate.idaho.gov or @house.idaho.gov. Users should confirm before mailing.</w:t>
      </w:r>
    </w:p>
    <w:p>
      <w:pPr>
        <w:pStyle w:val="Heading2"/>
      </w:pPr>
      <w:r>
        <w:rPr>
          <w:rFonts w:ascii="Arial" w:cs="Arial" w:eastAsia="Arial" w:hAnsi="Arial"/>
          <w:sz w:val="24"/>
          <w:szCs w:val="24"/>
        </w:rPr>
        <w:t xml:space="preserve">A. Jerome County Officials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1400"/>
        <w:gridCol w:w="2800"/>
        <w:gridCol w:w="2160"/>
      </w:tblGrid>
      <w:tr>
        <w:trPr>
          <w:tblHeader/>
        </w:trPr>
        <w:tc>
          <w:tcPr>
            <w:tcW w:type="dxa" w:w="30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Name / Office</w:t>
            </w:r>
          </w:p>
        </w:tc>
        <w:tc>
          <w:tcPr>
            <w:tcW w:type="dxa" w:w="1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Phone</w:t>
            </w:r>
          </w:p>
        </w:tc>
        <w:tc>
          <w:tcPr>
            <w:tcW w:type="dxa" w:w="28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Email</w:t>
            </w:r>
          </w:p>
        </w:tc>
        <w:tc>
          <w:tcPr>
            <w:tcW w:type="dxa" w:w="21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Verified</w:t>
            </w:r>
          </w:p>
        </w:tc>
      </w:tr>
      <w:tr>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Jerome County Board of Commissioners</w:t>
            </w:r>
          </w:p>
        </w:tc>
        <w:tc>
          <w:tcPr>
            <w:tcW w:type="dxa" w:w="1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(208) 644-2700</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rtreanor@co.jerome.id.us (Admin Asst.)</w:t>
            </w:r>
          </w:p>
        </w:tc>
        <w:tc>
          <w:tcPr>
            <w:tcW w:type="dxa" w:w="21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jeromecountyid.us, Mar 2026</w:t>
            </w:r>
          </w:p>
        </w:tc>
      </w:tr>
      <w:tr>
        <w:tc>
          <w:tcPr>
            <w:tcW w:type="dxa" w:w="3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Commissioner A. Ben Crouch (Chair)</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(208) 644-2700</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Via commissioners office</w:t>
            </w:r>
          </w:p>
        </w:tc>
        <w:tc>
          <w:tcPr>
            <w:tcW w:type="dxa" w:w="21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Magic Valley News, Jan 2025</w:t>
            </w:r>
          </w:p>
        </w:tc>
      </w:tr>
      <w:tr>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Commissioner Charles “Charlie” Howell</w:t>
            </w:r>
          </w:p>
        </w:tc>
        <w:tc>
          <w:tcPr>
            <w:tcW w:type="dxa" w:w="1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(208) 644-2700</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Via commissioners office</w:t>
            </w:r>
          </w:p>
        </w:tc>
        <w:tc>
          <w:tcPr>
            <w:tcW w:type="dxa" w:w="21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jeromecountyid.us, Mar 2026</w:t>
            </w:r>
          </w:p>
        </w:tc>
      </w:tr>
      <w:tr>
        <w:tc>
          <w:tcPr>
            <w:tcW w:type="dxa" w:w="3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Commissioner Art Watkins</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(208) 644-2700</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Via commissioners office</w:t>
            </w:r>
          </w:p>
        </w:tc>
        <w:tc>
          <w:tcPr>
            <w:tcW w:type="dxa" w:w="21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KMVT, Jun 2023; confirmed Jan 2025</w:t>
            </w:r>
          </w:p>
        </w:tc>
      </w:tr>
      <w:tr>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Jerome County P&amp;Z Department</w:t>
            </w:r>
          </w:p>
        </w:tc>
        <w:tc>
          <w:tcPr>
            <w:tcW w:type="dxa" w:w="1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(208) 644-2700</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rchristensen@co.jerome.id.us</w:t>
            </w:r>
          </w:p>
        </w:tc>
        <w:tc>
          <w:tcPr>
            <w:tcW w:type="dxa" w:w="21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jeromecountyid.us</w:t>
            </w:r>
          </w:p>
        </w:tc>
      </w:tr>
    </w:tbl>
    <w:p>
      <w:pPr>
        <w:pStyle w:val="Heading2"/>
      </w:pPr>
      <w:r>
        <w:rPr>
          <w:rFonts w:ascii="Arial" w:cs="Arial" w:eastAsia="Arial" w:hAnsi="Arial"/>
          <w:sz w:val="24"/>
          <w:szCs w:val="24"/>
        </w:rPr>
        <w:t xml:space="preserve">B. Idaho State Legislators — District 26 (Jerome County)</w:t>
      </w:r>
    </w:p>
    <w:p>
      <w:pPr>
        <w:spacing w:after="200" w:line="276"/>
      </w:pPr>
      <w:r>
        <w:rPr>
          <w:rFonts w:ascii="Arial" w:cs="Arial" w:eastAsia="Arial" w:hAnsi="Arial"/>
          <w:i/>
          <w:iCs/>
          <w:sz w:val="24"/>
          <w:szCs w:val="24"/>
        </w:rPr>
        <w:t xml:space="preserve">All Idaho legislative emails follow the format: firstinitial+lastname@senate.idaho.gov or @house.idaho.gov</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2600"/>
        <w:gridCol w:w="2400"/>
        <w:gridCol w:w="1560"/>
      </w:tblGrid>
      <w:tr>
        <w:trPr>
          <w:tblHeader/>
        </w:trPr>
        <w:tc>
          <w:tcPr>
            <w:tcW w:type="dxa" w:w="28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Name</w:t>
            </w:r>
          </w:p>
        </w:tc>
        <w:tc>
          <w:tcPr>
            <w:tcW w:type="dxa" w:w="26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Email</w:t>
            </w:r>
          </w:p>
        </w:tc>
        <w:tc>
          <w:tcPr>
            <w:tcW w:type="dxa" w:w="2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Notes</w:t>
            </w:r>
          </w:p>
        </w:tc>
        <w:tc>
          <w:tcPr>
            <w:tcW w:type="dxa" w:w="15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Verified</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Sen. Ron Taylor (D–District 26)</w:t>
            </w:r>
          </w:p>
        </w:tc>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rtaylor@senate.idaho.gov</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Jerome, Lincoln, Blaine counties</w:t>
            </w:r>
          </w:p>
        </w:tc>
        <w:tc>
          <w:tcPr>
            <w:tcW w:type="dxa" w:w="15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Ballotpedia, Mar 2026</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Mike Pohanka (R–Seat 26A)</w:t>
            </w:r>
          </w:p>
        </w:tc>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mpohanka@house.idaho.gov</w:t>
            </w:r>
          </w:p>
        </w:tc>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Incumbent; 2026 primary May 19</w:t>
            </w:r>
          </w:p>
        </w:tc>
        <w:tc>
          <w:tcPr>
            <w:tcW w:type="dxa" w:w="15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VoteIdaho.gov, Mar 2026</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Jack Nelsen (R–Seat 26B, Jerome)</w:t>
            </w:r>
          </w:p>
        </w:tc>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jnelsen@house.idaho.gov</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Elected 2022; reelected Nov 2024; Ag &amp; Resources committees</w:t>
            </w:r>
          </w:p>
        </w:tc>
        <w:tc>
          <w:tcPr>
            <w:tcW w:type="dxa" w:w="15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Ballotpedia, Mar 2026</w:t>
            </w:r>
          </w:p>
        </w:tc>
      </w:tr>
    </w:tbl>
    <w:p>
      <w:pPr>
        <w:pStyle w:val="Heading2"/>
      </w:pPr>
      <w:r>
        <w:rPr>
          <w:rFonts w:ascii="Arial" w:cs="Arial" w:eastAsia="Arial" w:hAnsi="Arial"/>
          <w:sz w:val="24"/>
          <w:szCs w:val="24"/>
        </w:rPr>
        <w:t xml:space="preserve">C. Idaho Senate — Agricultural Affairs Committee</w:t>
      </w:r>
    </w:p>
    <w:p>
      <w:pPr>
        <w:spacing w:after="200" w:line="276"/>
      </w:pPr>
      <w:r>
        <w:rPr>
          <w:rFonts w:ascii="Arial" w:cs="Arial" w:eastAsia="Arial" w:hAnsi="Arial"/>
          <w:i/>
          <w:iCs/>
          <w:sz w:val="24"/>
          <w:szCs w:val="24"/>
        </w:rPr>
        <w:t xml:space="preserve">This committee has jurisdiction over agricultural policy. HCR032 and SB 1133 both moved through this committee.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3400"/>
        <w:gridCol w:w="2560"/>
      </w:tblGrid>
      <w:tr>
        <w:trPr>
          <w:tblHeader/>
        </w:trPr>
        <w:tc>
          <w:tcPr>
            <w:tcW w:type="dxa" w:w="3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Name</w:t>
            </w:r>
          </w:p>
        </w:tc>
        <w:tc>
          <w:tcPr>
            <w:tcW w:type="dxa" w:w="3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Email</w:t>
            </w:r>
          </w:p>
        </w:tc>
        <w:tc>
          <w:tcPr>
            <w:tcW w:type="dxa" w:w="25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Role</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Sen. Tammy Nichols (Chair)</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tnichols@senate.idaho.gov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Chair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Sen. Christy Zito (Vice Chair)</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czito@senate.idaho.gov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Vice Chair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Sen. Todd M. Lakey</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tlakey@senate.idaho.gov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Sen. Dave Lent</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dlent@senate.idaho.gov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Sen. Julie VanOrden</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jvanorden@senate.idaho.gov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Sen. Camille Blaylock</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cblaylock@senate.idaho.gov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Sen. Joshua Kohl</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jkohl@senate.idaho.gov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Sen. Carrie Semmelroth</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csemmelroth@senate.idaho.gov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Minority Member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Sen. Ron C. Taylor</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rtaylor@senate.idaho.gov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Minority Member; District 26</w:t>
            </w:r>
          </w:p>
        </w:tc>
      </w:tr>
    </w:tbl>
    <w:p>
      <w:pPr>
        <w:spacing w:after="200" w:line="276"/>
      </w:pPr>
      <w:r>
        <w:rPr>
          <w:rFonts w:ascii="Arial" w:cs="Arial" w:eastAsia="Arial" w:hAnsi="Arial"/>
          <w:i/>
          <w:iCs/>
          <w:sz w:val="24"/>
          <w:szCs w:val="24"/>
        </w:rPr>
        <w:t xml:space="preserve">Committee Secretary: Rachel Verrette • sagri@senate.idaho.gov • (208) 332-1330 • Meets Tue/Thu 8:00 AM, Room WW53</w:t>
      </w:r>
    </w:p>
    <w:p>
      <w:pPr>
        <w:pStyle w:val="Heading2"/>
      </w:pPr>
      <w:r>
        <w:rPr>
          <w:rFonts w:ascii="Arial" w:cs="Arial" w:eastAsia="Arial" w:hAnsi="Arial"/>
          <w:sz w:val="24"/>
          <w:szCs w:val="24"/>
        </w:rPr>
        <w:t xml:space="preserve">D. Idaho Senate — Resources &amp; Environment Committee</w:t>
      </w:r>
    </w:p>
    <w:p>
      <w:pPr>
        <w:spacing w:after="200" w:line="276"/>
      </w:pPr>
      <w:r>
        <w:rPr>
          <w:rFonts w:ascii="Arial" w:cs="Arial" w:eastAsia="Arial" w:hAnsi="Arial"/>
          <w:i/>
          <w:iCs/>
          <w:sz w:val="24"/>
          <w:szCs w:val="24"/>
        </w:rPr>
        <w:t xml:space="preserve">Jurisdiction over water rights, ESPA, and natural resource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3400"/>
        <w:gridCol w:w="2560"/>
      </w:tblGrid>
      <w:tr>
        <w:trPr>
          <w:tblHeader/>
        </w:trPr>
        <w:tc>
          <w:tcPr>
            <w:tcW w:type="dxa" w:w="3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Name</w:t>
            </w:r>
          </w:p>
        </w:tc>
        <w:tc>
          <w:tcPr>
            <w:tcW w:type="dxa" w:w="3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Email</w:t>
            </w:r>
          </w:p>
        </w:tc>
        <w:tc>
          <w:tcPr>
            <w:tcW w:type="dxa" w:w="25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Role</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Sen. Van T. Burtenshaw (Chair)</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vburtenshaw@senate.idaho.gov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Chair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Sen. Phil Hart (Vice Chair)</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phart@senate.idaho.gov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Vice Chair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Sen. Jim Guthrie</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jguthrie@senate.idaho.gov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Sen. Mark Harris</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mharris@senate.idaho.gov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Sen. Doug Okuniewicz</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dokuniewicz@senate.idaho.gov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Sen. Kevin Cook</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kcook@senate.idaho.gov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Sen. Julie VanOrden</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jvanorden@senate.idaho.gov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Sen. Joshua Kohl</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jkohl@senate.idaho.gov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Sen. Ron C. Taylor</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rtaylor@senate.idaho.gov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Minority Member; District 26</w:t>
            </w:r>
          </w:p>
        </w:tc>
      </w:tr>
    </w:tbl>
    <w:p>
      <w:pPr>
        <w:spacing w:after="200" w:line="276"/>
      </w:pPr>
      <w:r>
        <w:rPr>
          <w:rFonts w:ascii="Arial" w:cs="Arial" w:eastAsia="Arial" w:hAnsi="Arial"/>
          <w:i/>
          <w:iCs/>
          <w:sz w:val="24"/>
          <w:szCs w:val="24"/>
        </w:rPr>
        <w:t xml:space="preserve">Committee Secretary: Shelly Johnson • sres@senate.idaho.gov • (208) 332-1323 • Meets M/W/F 1:30 PM, Room WW55</w:t>
      </w:r>
    </w:p>
    <w:p>
      <w:pPr>
        <w:pStyle w:val="Heading2"/>
      </w:pPr>
      <w:r>
        <w:rPr>
          <w:rFonts w:ascii="Arial" w:cs="Arial" w:eastAsia="Arial" w:hAnsi="Arial"/>
          <w:sz w:val="24"/>
          <w:szCs w:val="24"/>
        </w:rPr>
        <w:t xml:space="preserve">E. Idaho House — Agricultural Affairs Committee</w:t>
      </w:r>
    </w:p>
    <w:p>
      <w:pPr>
        <w:spacing w:after="200" w:line="276"/>
      </w:pPr>
      <w:r>
        <w:rPr>
          <w:rFonts w:ascii="Arial" w:cs="Arial" w:eastAsia="Arial" w:hAnsi="Arial"/>
          <w:i/>
          <w:iCs/>
          <w:sz w:val="24"/>
          <w:szCs w:val="24"/>
        </w:rPr>
        <w:t xml:space="preserve">Jurisdiction over agricultural policy, farmland protection, and dairy industry matters.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3400"/>
        <w:gridCol w:w="2560"/>
      </w:tblGrid>
      <w:tr>
        <w:trPr>
          <w:tblHeader/>
        </w:trPr>
        <w:tc>
          <w:tcPr>
            <w:tcW w:type="dxa" w:w="3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Name</w:t>
            </w:r>
          </w:p>
        </w:tc>
        <w:tc>
          <w:tcPr>
            <w:tcW w:type="dxa" w:w="3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Email</w:t>
            </w:r>
          </w:p>
        </w:tc>
        <w:tc>
          <w:tcPr>
            <w:tcW w:type="dxa" w:w="25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Role</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Jerald Raymond (Chair)</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jraymond@house.idaho.gov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Chair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John Shirts (Vice Chair)</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jshirts@house.idaho.gov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Vice Chair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David M. Cannon</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dcannon@house.idaho.gov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Lori Ann McCann</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lmccann@house.idaho.gov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Dan Garner</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dgarner@house.idaho.gov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Jack Nelsen</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jnelsen@house.idaho.gov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Member; District 26B (Jerome)</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Douglas T. Pickett</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dpickett@house.idaho.gov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Mark Sauter</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msauter@house.idaho.gov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Steve Miller</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smiller@house.idaho.gov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Robert Beiswenger</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rbeiswenger@house.idaho.gov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Shawn Dygert</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sdygert@house.idaho.gov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David J. Leavitt</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dleavitt@house.idaho.gov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Ron Mendive</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rmendive@house.idaho.gov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Don Hall</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dhall@house.idaho.gov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Dori Healey</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dhealey@house.idaho.gov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Chris Mathias</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cmathias@house.idaho.gov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Minority Member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Anne Henderson Haws</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ahaws@house.idaho.gov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Minority Member</w:t>
            </w:r>
          </w:p>
        </w:tc>
      </w:tr>
    </w:tbl>
    <w:p>
      <w:pPr>
        <w:spacing w:after="200" w:line="276"/>
      </w:pPr>
      <w:r>
        <w:rPr>
          <w:rFonts w:ascii="Arial" w:cs="Arial" w:eastAsia="Arial" w:hAnsi="Arial"/>
          <w:i/>
          <w:iCs/>
          <w:sz w:val="24"/>
          <w:szCs w:val="24"/>
        </w:rPr>
        <w:t xml:space="preserve">Committee Secretary: Jayne Feik • hagri@house.idaho.gov • (208) 332-1137 • Meets Even Days 1:30 PM, Room EW42</w:t>
      </w:r>
    </w:p>
    <w:p>
      <w:pPr>
        <w:pStyle w:val="Heading2"/>
      </w:pPr>
      <w:r>
        <w:rPr>
          <w:rFonts w:ascii="Arial" w:cs="Arial" w:eastAsia="Arial" w:hAnsi="Arial"/>
          <w:sz w:val="24"/>
          <w:szCs w:val="24"/>
        </w:rPr>
        <w:t xml:space="preserve">F. Idaho House — Environment, Energy &amp; Technology Committee</w:t>
      </w:r>
    </w:p>
    <w:p>
      <w:pPr>
        <w:spacing w:after="200" w:line="276"/>
      </w:pPr>
      <w:r>
        <w:rPr>
          <w:rFonts w:ascii="Arial" w:cs="Arial" w:eastAsia="Arial" w:hAnsi="Arial"/>
          <w:i/>
          <w:iCs/>
          <w:sz w:val="24"/>
          <w:szCs w:val="24"/>
        </w:rPr>
        <w:t xml:space="preserve">Jurisdiction over energy policy, DEQ, and environmental regulation.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3400"/>
        <w:gridCol w:w="2560"/>
      </w:tblGrid>
      <w:tr>
        <w:trPr>
          <w:tblHeader/>
        </w:trPr>
        <w:tc>
          <w:tcPr>
            <w:tcW w:type="dxa" w:w="3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Name</w:t>
            </w:r>
          </w:p>
        </w:tc>
        <w:tc>
          <w:tcPr>
            <w:tcW w:type="dxa" w:w="3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Email</w:t>
            </w:r>
          </w:p>
        </w:tc>
        <w:tc>
          <w:tcPr>
            <w:tcW w:type="dxa" w:w="25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Role</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Vito Barbieri (Chair)</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vbarbieri@house.idaho.gov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Chair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Rod Furniss (Vice Chair)</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rfurniss@house.idaho.gov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Vice Chair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John Vander Woude</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jvanderwoude@house.idaho.gov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Heather Scott</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hscott@house.idaho.gov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Tony Wisniewski</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twisniewski@house.idaho.gov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Britt Raybould</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braybould@house.idaho.gov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Jordan Redman</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jredman@house.idaho.gov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Chris Bruce</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cbruce@house.idaho.gov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Tanya Burgoyne</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tburgoyne@house.idaho.gov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Ben G. Fuhriman</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bfuhriman@house.idaho.gov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Steven Tanner</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stanner@house.idaho.gov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Faye Thompson</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fthompson@house.idaho.gov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Erin M. Bingham</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ebingham@house.idaho.gov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Ilana Rubel</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irubel@house.idaho.gov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Minority Member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Megan Egbert</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megbert@house.idaho.gov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Minority 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Soñia R. Galaviz</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sgalaviz@house.idaho.gov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Minority Member</w:t>
            </w:r>
          </w:p>
        </w:tc>
      </w:tr>
    </w:tbl>
    <w:p>
      <w:pPr>
        <w:spacing w:after="200" w:line="276"/>
      </w:pPr>
      <w:r>
        <w:rPr>
          <w:rFonts w:ascii="Arial" w:cs="Arial" w:eastAsia="Arial" w:hAnsi="Arial"/>
          <w:i/>
          <w:iCs/>
          <w:sz w:val="24"/>
          <w:szCs w:val="24"/>
        </w:rPr>
        <w:t xml:space="preserve">Committee Secretary: Michele Coburn • henvr@house.idaho.gov • Meets Even Days 1:30 PM, Room EW41</w:t>
      </w:r>
    </w:p>
    <w:p>
      <w:pPr>
        <w:pStyle w:val="Heading2"/>
      </w:pPr>
      <w:r>
        <w:rPr>
          <w:rFonts w:ascii="Arial" w:cs="Arial" w:eastAsia="Arial" w:hAnsi="Arial"/>
          <w:sz w:val="24"/>
          <w:szCs w:val="24"/>
        </w:rPr>
        <w:t xml:space="preserve">G. Idaho House — Resources &amp; Conservation Committee</w:t>
      </w:r>
    </w:p>
    <w:p>
      <w:pPr>
        <w:spacing w:after="200" w:line="276"/>
      </w:pPr>
      <w:r>
        <w:rPr>
          <w:rFonts w:ascii="Arial" w:cs="Arial" w:eastAsia="Arial" w:hAnsi="Arial"/>
          <w:i/>
          <w:iCs/>
          <w:sz w:val="24"/>
          <w:szCs w:val="24"/>
        </w:rPr>
        <w:t xml:space="preserve">Jurisdiction over water rights, IDWR, and ESPA management.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3400"/>
        <w:gridCol w:w="2560"/>
      </w:tblGrid>
      <w:tr>
        <w:trPr>
          <w:tblHeader/>
        </w:trPr>
        <w:tc>
          <w:tcPr>
            <w:tcW w:type="dxa" w:w="3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Name</w:t>
            </w:r>
          </w:p>
        </w:tc>
        <w:tc>
          <w:tcPr>
            <w:tcW w:type="dxa" w:w="3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Email</w:t>
            </w:r>
          </w:p>
        </w:tc>
        <w:tc>
          <w:tcPr>
            <w:tcW w:type="dxa" w:w="25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Role</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Ron Mendive (Chair)</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rmendive@house.idaho.gov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Chair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Charlie Shepherd (Vice Chair)</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cshepherd@house.idaho.gov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Vice Chair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Judy Boyle</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jboyle@house.idaho.gov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John Vander Woude</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jvanderwoude@house.idaho.gov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Dustin Manwaring</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dmanwaring@house.idaho.gov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Britt Raybould</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braybould@house.idaho.gov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Stephanie Jo Mickelsen</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smickelsen@house.idaho.gov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Jack Nelsen</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jnelsen@house.idaho.gov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Member; District 26B (Jerome)</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Douglas T. Pickett</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dpickett@house.idaho.gov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Jerald Raymond</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jraymond@house.idaho.gov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Josh Tanner</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jtanner@house.idaho.gov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Steve Miller</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smiller@house.idaho.gov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Shawn Dygert</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sdygert@house.idaho.gov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James Petzke</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jpetzke@house.idaho.gov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Mark Sauter</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msauter@house.idaho.gov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Dori Healey</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dhealey@house.idaho.gov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Member</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Soñia R. Galaviz</w:t>
            </w:r>
          </w:p>
        </w:tc>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sgalaviz@house.idaho.gov</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Minority Member</w:t>
            </w:r>
          </w:p>
        </w:tc>
      </w:tr>
      <w:tr>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Rep. Monica C. Church</w:t>
            </w:r>
          </w:p>
        </w:tc>
        <w:tc>
          <w:tcPr>
            <w:tcW w:type="dxa" w:w="3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mchurch@house.idaho.gov</w:t>
            </w:r>
          </w:p>
        </w:tc>
        <w:tc>
          <w:tcPr>
            <w:tcW w:type="dxa" w:w="2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Minority Member</w:t>
            </w:r>
          </w:p>
        </w:tc>
      </w:tr>
    </w:tbl>
    <w:p>
      <w:pPr>
        <w:spacing w:after="200" w:line="276"/>
      </w:pPr>
      <w:r>
        <w:rPr>
          <w:rFonts w:ascii="Arial" w:cs="Arial" w:eastAsia="Arial" w:hAnsi="Arial"/>
          <w:i/>
          <w:iCs/>
          <w:sz w:val="24"/>
          <w:szCs w:val="24"/>
        </w:rPr>
        <w:t xml:space="preserve">Committee Secretary: Andrea Blades • hres@house.idaho.gov • Meets Odd Days 1:30 PM, Room EW40</w:t>
      </w:r>
    </w:p>
    <w:p>
      <w:pPr>
        <w:pStyle w:val="Heading2"/>
      </w:pPr>
      <w:r>
        <w:rPr>
          <w:rFonts w:ascii="Arial" w:cs="Arial" w:eastAsia="Arial" w:hAnsi="Arial"/>
          <w:sz w:val="24"/>
          <w:szCs w:val="24"/>
        </w:rPr>
        <w:t xml:space="preserve">H. Idaho Congressional Delegation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400"/>
        <w:gridCol w:w="3800"/>
        <w:gridCol w:w="1760"/>
      </w:tblGrid>
      <w:tr>
        <w:trPr>
          <w:tblHeader/>
        </w:trPr>
        <w:tc>
          <w:tcPr>
            <w:tcW w:type="dxa" w:w="2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Name / Office</w:t>
            </w:r>
          </w:p>
        </w:tc>
        <w:tc>
          <w:tcPr>
            <w:tcW w:type="dxa" w:w="1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Phone</w:t>
            </w:r>
          </w:p>
        </w:tc>
        <w:tc>
          <w:tcPr>
            <w:tcW w:type="dxa" w:w="38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Email / Local Office</w:t>
            </w:r>
          </w:p>
        </w:tc>
        <w:tc>
          <w:tcPr>
            <w:tcW w:type="dxa" w:w="17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Verified</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Sen. Mike Crapo (R)</w:t>
            </w:r>
          </w:p>
        </w:tc>
        <w:tc>
          <w:tcPr>
            <w:tcW w:type="dxa" w:w="1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(208) 734-2515</w:t>
            </w:r>
          </w:p>
        </w:tc>
        <w:tc>
          <w:tcPr>
            <w:tcW w:type="dxa" w:w="3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crapo.senate.gov/contact; 202 Falls Ave., Suite 2, Twin Falls, ID 83301</w:t>
            </w:r>
          </w:p>
        </w:tc>
        <w:tc>
          <w:tcPr>
            <w:tcW w:type="dxa" w:w="17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Mar 2026</w:t>
            </w:r>
          </w:p>
        </w:tc>
      </w:tr>
      <w:tr>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Sen. Jim Risch (R)</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(208) 734-6780</w:t>
            </w:r>
          </w:p>
        </w:tc>
        <w:tc>
          <w:tcPr>
            <w:tcW w:type="dxa" w:w="3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risch.senate.gov/contact; 1411 Falls Ave. East, Suite 201, Twin Falls, ID 83301</w:t>
            </w:r>
          </w:p>
        </w:tc>
        <w:tc>
          <w:tcPr>
            <w:tcW w:type="dxa" w:w="17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Mar 2026</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Rep. Mike Simpson (R–ID-2)</w:t>
            </w:r>
          </w:p>
        </w:tc>
        <w:tc>
          <w:tcPr>
            <w:tcW w:type="dxa" w:w="1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(208) 734-7219</w:t>
            </w:r>
          </w:p>
        </w:tc>
        <w:tc>
          <w:tcPr>
            <w:tcW w:type="dxa" w:w="3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simpson.house.gov/contact; 630 Addison Ave. West, #1700, Twin Falls, ID 83301</w:t>
            </w:r>
          </w:p>
        </w:tc>
        <w:tc>
          <w:tcPr>
            <w:tcW w:type="dxa" w:w="17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Mar 2026</w:t>
            </w:r>
          </w:p>
        </w:tc>
      </w:tr>
    </w:tbl>
    <w:p>
      <w:pPr>
        <w:pStyle w:val="Heading2"/>
      </w:pPr>
      <w:r>
        <w:rPr>
          <w:rFonts w:ascii="Arial" w:cs="Arial" w:eastAsia="Arial" w:hAnsi="Arial"/>
          <w:sz w:val="24"/>
          <w:szCs w:val="24"/>
        </w:rPr>
        <w:t xml:space="preserve">I. Idaho State Executive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400"/>
        <w:gridCol w:w="3800"/>
        <w:gridCol w:w="1760"/>
      </w:tblGrid>
      <w:tr>
        <w:trPr>
          <w:tblHeader/>
        </w:trPr>
        <w:tc>
          <w:tcPr>
            <w:tcW w:type="dxa" w:w="2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Name / Office</w:t>
            </w:r>
          </w:p>
        </w:tc>
        <w:tc>
          <w:tcPr>
            <w:tcW w:type="dxa" w:w="1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Phone</w:t>
            </w:r>
          </w:p>
        </w:tc>
        <w:tc>
          <w:tcPr>
            <w:tcW w:type="dxa" w:w="38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Email</w:t>
            </w:r>
          </w:p>
        </w:tc>
        <w:tc>
          <w:tcPr>
            <w:tcW w:type="dxa" w:w="17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Verified</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Gov. Brad Little</w:t>
            </w:r>
          </w:p>
        </w:tc>
        <w:tc>
          <w:tcPr>
            <w:tcW w:type="dxa" w:w="1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(208) 334-2100</w:t>
            </w:r>
          </w:p>
        </w:tc>
        <w:tc>
          <w:tcPr>
            <w:tcW w:type="dxa" w:w="3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governor@gov.idaho.gov</w:t>
            </w:r>
          </w:p>
        </w:tc>
        <w:tc>
          <w:tcPr>
            <w:tcW w:type="dxa" w:w="17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gov.idaho.gov, Mar 2026</w:t>
            </w:r>
          </w:p>
        </w:tc>
      </w:tr>
      <w:tr>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ISDA Director Chanel Tewalt</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(208) 332-8500</w:t>
            </w:r>
          </w:p>
        </w:tc>
        <w:tc>
          <w:tcPr>
            <w:tcW w:type="dxa" w:w="3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Via agri.idaho.gov; 2270 Old Penitentiary Rd, Boise</w:t>
            </w:r>
          </w:p>
        </w:tc>
        <w:tc>
          <w:tcPr>
            <w:tcW w:type="dxa" w:w="17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agri.idaho.gov; appointed Jan 2023</w:t>
            </w:r>
          </w:p>
        </w:tc>
      </w:tr>
      <w:tr>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Idaho Public Utilities Commission</w:t>
            </w:r>
          </w:p>
        </w:tc>
        <w:tc>
          <w:tcPr>
            <w:tcW w:type="dxa" w:w="1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(208) 334-0300</w:t>
            </w:r>
          </w:p>
        </w:tc>
        <w:tc>
          <w:tcPr>
            <w:tcW w:type="dxa" w:w="3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Via puc.idaho.gov; 11331 W. Chinden Blvd., Boise</w:t>
            </w:r>
          </w:p>
        </w:tc>
        <w:tc>
          <w:tcPr>
            <w:tcW w:type="dxa" w:w="17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puc.idaho.gov</w:t>
            </w:r>
          </w:p>
        </w:tc>
      </w:tr>
    </w:tbl>
    <w:p>
      <w:pPr>
        <w:pStyle w:val="Heading2"/>
      </w:pPr>
      <w:r>
        <w:rPr>
          <w:rFonts w:ascii="Arial" w:cs="Arial" w:eastAsia="Arial" w:hAnsi="Arial"/>
          <w:sz w:val="24"/>
          <w:szCs w:val="24"/>
        </w:rPr>
        <w:t xml:space="preserve">J. Agricultural and Dairy Associations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1400"/>
        <w:gridCol w:w="3200"/>
        <w:gridCol w:w="2160"/>
      </w:tblGrid>
      <w:tr>
        <w:trPr>
          <w:tblHeader/>
        </w:trPr>
        <w:tc>
          <w:tcPr>
            <w:tcW w:type="dxa" w:w="26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Organization</w:t>
            </w:r>
          </w:p>
        </w:tc>
        <w:tc>
          <w:tcPr>
            <w:tcW w:type="dxa" w:w="1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Phone</w:t>
            </w:r>
          </w:p>
        </w:tc>
        <w:tc>
          <w:tcPr>
            <w:tcW w:type="dxa" w:w="32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Email / Website</w:t>
            </w:r>
          </w:p>
        </w:tc>
        <w:tc>
          <w:tcPr>
            <w:tcW w:type="dxa" w:w="21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Verified</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Idaho Dairymen’s Association</w:t>
            </w:r>
          </w:p>
        </w:tc>
        <w:tc>
          <w:tcPr>
            <w:tcW w:type="dxa" w:w="1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(208) 735-4100</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info@idahodairymens.org</w:t>
            </w:r>
          </w:p>
        </w:tc>
        <w:tc>
          <w:tcPr>
            <w:tcW w:type="dxa" w:w="21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idahodairymens.org, Mar 2026</w:t>
            </w:r>
          </w:p>
        </w:tc>
      </w:tr>
      <w:tr>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Idaho Farm Bureau Federation</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(208) 342-2688</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idahofb.org/contact-us</w:t>
            </w:r>
          </w:p>
        </w:tc>
        <w:tc>
          <w:tcPr>
            <w:tcW w:type="dxa" w:w="21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idahofb.org, Mar 2026</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Idaho Cattle Association</w:t>
            </w:r>
          </w:p>
        </w:tc>
        <w:tc>
          <w:tcPr>
            <w:tcW w:type="dxa" w:w="1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(208) 343-1615</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info@idahocattle.org</w:t>
            </w:r>
          </w:p>
        </w:tc>
        <w:tc>
          <w:tcPr>
            <w:tcW w:type="dxa" w:w="21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idahocattle.org, Mar 2026</w:t>
            </w:r>
          </w:p>
        </w:tc>
      </w:tr>
      <w:tr>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Idaho Grain Producers Association</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(208) 345-0706</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info@idahograin.org</w:t>
            </w:r>
          </w:p>
        </w:tc>
        <w:tc>
          <w:tcPr>
            <w:tcW w:type="dxa" w:w="21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idahograin.org, Mar 2026</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Idaho Irrigation Pumpers Association</w:t>
            </w:r>
          </w:p>
        </w:tc>
        <w:tc>
          <w:tcPr>
            <w:tcW w:type="dxa" w:w="1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idahopumpers.com</w:t>
            </w:r>
          </w:p>
        </w:tc>
        <w:tc>
          <w:tcPr>
            <w:tcW w:type="dxa" w:w="2160"/>
            <w:tcBorders>
              <w:top w:val="single" w:color="CCCCCC" w:sz="1"/>
              <w:left w:val="single" w:color="CCCCCC" w:sz="1"/>
              <w:bottom w:val="single" w:color="CCCCCC" w:sz="1"/>
              <w:right w:val="single" w:color="CCCCCC" w:sz="1"/>
            </w:tcBorders>
            <w:shd w:fill="FFF3CD" w:val="clear"/>
            <w:tcMar>
              <w:top w:type="dxa" w:w="80"/>
              <w:left w:type="dxa" w:w="120"/>
              <w:bottom w:type="dxa" w:w="80"/>
              <w:right w:type="dxa" w:w="120"/>
            </w:tcMar>
          </w:tcPr>
          <w:p>
            <w:r>
              <w:rPr>
                <w:rFonts w:ascii="Arial" w:cs="Arial" w:eastAsia="Arial" w:hAnsi="Arial"/>
                <w:sz w:val="20"/>
                <w:szCs w:val="20"/>
              </w:rPr>
              <w:t xml:space="preserve">Last known good: website 2024</w:t>
            </w:r>
          </w:p>
        </w:tc>
      </w:tr>
      <w:tr>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Idaho Milk Processors Association (IMPA)</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impa.us</w:t>
            </w:r>
          </w:p>
        </w:tc>
        <w:tc>
          <w:tcPr>
            <w:tcW w:type="dxa" w:w="21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impa.us, Mar 2026</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Milk Producers of Idaho</w:t>
            </w:r>
          </w:p>
        </w:tc>
        <w:tc>
          <w:tcPr>
            <w:tcW w:type="dxa" w:w="1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milkproducersofidaho.com</w:t>
            </w:r>
          </w:p>
        </w:tc>
        <w:tc>
          <w:tcPr>
            <w:tcW w:type="dxa" w:w="2160"/>
            <w:tcBorders>
              <w:top w:val="single" w:color="CCCCCC" w:sz="1"/>
              <w:left w:val="single" w:color="CCCCCC" w:sz="1"/>
              <w:bottom w:val="single" w:color="CCCCCC" w:sz="1"/>
              <w:right w:val="single" w:color="CCCCCC" w:sz="1"/>
            </w:tcBorders>
            <w:shd w:fill="FFF3CD" w:val="clear"/>
            <w:tcMar>
              <w:top w:type="dxa" w:w="80"/>
              <w:left w:type="dxa" w:w="120"/>
              <w:bottom w:type="dxa" w:w="80"/>
              <w:right w:type="dxa" w:w="120"/>
            </w:tcMar>
          </w:tcPr>
          <w:p>
            <w:r>
              <w:rPr>
                <w:rFonts w:ascii="Arial" w:cs="Arial" w:eastAsia="Arial" w:hAnsi="Arial"/>
                <w:sz w:val="20"/>
                <w:szCs w:val="20"/>
              </w:rPr>
              <w:t xml:space="preserve">Last known good: website 2024</w:t>
            </w:r>
          </w:p>
        </w:tc>
      </w:tr>
      <w:tr>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American Farmland Trust</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(800) 886-5170</w:t>
            </w:r>
          </w:p>
        </w:tc>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info@farmland.org; farmland.org/idaho</w:t>
            </w:r>
          </w:p>
        </w:tc>
        <w:tc>
          <w:tcPr>
            <w:tcW w:type="dxa" w:w="21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farmland.org, Mar 2026</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Idaho Water Users Association</w:t>
            </w:r>
          </w:p>
        </w:tc>
        <w:tc>
          <w:tcPr>
            <w:tcW w:type="dxa" w:w="1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(208) 344-6690</w:t>
            </w:r>
          </w:p>
        </w:tc>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iwua.org</w:t>
            </w:r>
          </w:p>
        </w:tc>
        <w:tc>
          <w:tcPr>
            <w:tcW w:type="dxa" w:w="2160"/>
            <w:tcBorders>
              <w:top w:val="single" w:color="CCCCCC" w:sz="1"/>
              <w:left w:val="single" w:color="CCCCCC" w:sz="1"/>
              <w:bottom w:val="single" w:color="CCCCCC" w:sz="1"/>
              <w:right w:val="single" w:color="CCCCCC" w:sz="1"/>
            </w:tcBorders>
            <w:shd w:fill="FFF3CD" w:val="clear"/>
            <w:tcMar>
              <w:top w:type="dxa" w:w="80"/>
              <w:left w:type="dxa" w:w="120"/>
              <w:bottom w:type="dxa" w:w="80"/>
              <w:right w:type="dxa" w:w="120"/>
            </w:tcMar>
          </w:tcPr>
          <w:p>
            <w:r>
              <w:rPr>
                <w:rFonts w:ascii="Arial" w:cs="Arial" w:eastAsia="Arial" w:hAnsi="Arial"/>
                <w:sz w:val="20"/>
                <w:szCs w:val="20"/>
              </w:rPr>
              <w:t xml:space="preserve">Last known good: website 2024</w:t>
            </w:r>
          </w:p>
        </w:tc>
      </w:tr>
    </w:tbl>
    <w:p>
      <w:pPr>
        <w:pStyle w:val="Heading2"/>
      </w:pPr>
      <w:r>
        <w:rPr>
          <w:rFonts w:ascii="Arial" w:cs="Arial" w:eastAsia="Arial" w:hAnsi="Arial"/>
          <w:sz w:val="24"/>
          <w:szCs w:val="24"/>
        </w:rPr>
        <w:t xml:space="preserve">K. Affected Businesses and Processors (Magic Valley)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1800"/>
        <w:gridCol w:w="2800"/>
        <w:gridCol w:w="2160"/>
      </w:tblGrid>
      <w:tr>
        <w:trPr>
          <w:tblHeader/>
        </w:trPr>
        <w:tc>
          <w:tcPr>
            <w:tcW w:type="dxa" w:w="26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Company</w:t>
            </w:r>
          </w:p>
        </w:tc>
        <w:tc>
          <w:tcPr>
            <w:tcW w:type="dxa" w:w="18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Sector</w:t>
            </w:r>
          </w:p>
        </w:tc>
        <w:tc>
          <w:tcPr>
            <w:tcW w:type="dxa" w:w="28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Location</w:t>
            </w:r>
          </w:p>
        </w:tc>
        <w:tc>
          <w:tcPr>
            <w:tcW w:type="dxa" w:w="21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Verified</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Idaho Milk Products</w:t>
            </w:r>
          </w:p>
        </w:tc>
        <w:tc>
          <w:tcPr>
            <w:tcW w:type="dxa" w:w="1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Dairy processing</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2249 S. Tiger Dr, Jerome, ID 83338</w:t>
            </w:r>
          </w:p>
        </w:tc>
        <w:tc>
          <w:tcPr>
            <w:tcW w:type="dxa" w:w="21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IMPA member list, Mar 2026</w:t>
            </w:r>
          </w:p>
        </w:tc>
      </w:tr>
      <w:tr>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Jerome Cheese (Lactalis)</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Dairy processing</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Jerome, ID</w:t>
            </w:r>
          </w:p>
        </w:tc>
        <w:tc>
          <w:tcPr>
            <w:tcW w:type="dxa" w:w="21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IMPA member list</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Glanbia Nutritionals</w:t>
            </w:r>
          </w:p>
        </w:tc>
        <w:tc>
          <w:tcPr>
            <w:tcW w:type="dxa" w:w="1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Dairy processing</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Twin Falls / Gooding / Richfield</w:t>
            </w:r>
          </w:p>
        </w:tc>
        <w:tc>
          <w:tcPr>
            <w:tcW w:type="dxa" w:w="21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IMPA member list</w:t>
            </w:r>
          </w:p>
        </w:tc>
      </w:tr>
      <w:tr>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Chobani</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Dairy/yogurt processing</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Twin Falls, ID</w:t>
            </w:r>
          </w:p>
        </w:tc>
        <w:tc>
          <w:tcPr>
            <w:tcW w:type="dxa" w:w="21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IMPA member list</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Agropur</w:t>
            </w:r>
          </w:p>
        </w:tc>
        <w:tc>
          <w:tcPr>
            <w:tcW w:type="dxa" w:w="1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Dairy processing</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Jerome, ID</w:t>
            </w:r>
          </w:p>
        </w:tc>
        <w:tc>
          <w:tcPr>
            <w:tcW w:type="dxa" w:w="21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IMPA member list</w:t>
            </w:r>
          </w:p>
        </w:tc>
      </w:tr>
      <w:tr>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Magic Valley Quality Milk Producers</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Dairy cooperative</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Jerome, ID</w:t>
            </w:r>
          </w:p>
        </w:tc>
        <w:tc>
          <w:tcPr>
            <w:tcW w:type="dxa" w:w="21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IMPA member list</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Amalgamated Sugar Company</w:t>
            </w:r>
          </w:p>
        </w:tc>
        <w:tc>
          <w:tcPr>
            <w:tcW w:type="dxa" w:w="1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Sugar beet processing</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Twin Falls / Paul, ID</w:t>
            </w:r>
          </w:p>
        </w:tc>
        <w:tc>
          <w:tcPr>
            <w:tcW w:type="dxa" w:w="2160"/>
            <w:tcBorders>
              <w:top w:val="single" w:color="CCCCCC" w:sz="1"/>
              <w:left w:val="single" w:color="CCCCCC" w:sz="1"/>
              <w:bottom w:val="single" w:color="CCCCCC" w:sz="1"/>
              <w:right w:val="single" w:color="CCCCCC" w:sz="1"/>
            </w:tcBorders>
            <w:shd w:fill="FFF3CD" w:val="clear"/>
            <w:tcMar>
              <w:top w:type="dxa" w:w="80"/>
              <w:left w:type="dxa" w:w="120"/>
              <w:bottom w:type="dxa" w:w="80"/>
              <w:right w:type="dxa" w:w="120"/>
            </w:tcMar>
          </w:tcPr>
          <w:p>
            <w:r>
              <w:rPr>
                <w:rFonts w:ascii="Arial" w:cs="Arial" w:eastAsia="Arial" w:hAnsi="Arial"/>
                <w:sz w:val="20"/>
                <w:szCs w:val="20"/>
              </w:rPr>
              <w:t xml:space="preserve">Last known good: co. website 2024</w:t>
            </w:r>
          </w:p>
        </w:tc>
      </w:tr>
      <w:tr>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McCain Foods</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Potato processing</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Burley, ID</w:t>
            </w:r>
          </w:p>
        </w:tc>
        <w:tc>
          <w:tcPr>
            <w:tcW w:type="dxa" w:w="2160"/>
            <w:tcBorders>
              <w:top w:val="single" w:color="CCCCCC" w:sz="1"/>
              <w:left w:val="single" w:color="CCCCCC" w:sz="1"/>
              <w:bottom w:val="single" w:color="CCCCCC" w:sz="1"/>
              <w:right w:val="single" w:color="CCCCCC" w:sz="1"/>
            </w:tcBorders>
            <w:shd w:fill="FFF3CD" w:val="clear"/>
            <w:tcMar>
              <w:top w:type="dxa" w:w="80"/>
              <w:left w:type="dxa" w:w="120"/>
              <w:bottom w:type="dxa" w:w="80"/>
              <w:right w:type="dxa" w:w="120"/>
            </w:tcMar>
          </w:tcPr>
          <w:p>
            <w:r>
              <w:rPr>
                <w:rFonts w:ascii="Arial" w:cs="Arial" w:eastAsia="Arial" w:hAnsi="Arial"/>
                <w:sz w:val="20"/>
                <w:szCs w:val="20"/>
              </w:rPr>
              <w:t xml:space="preserve">Last known good: co. website 2024</w:t>
            </w:r>
          </w:p>
        </w:tc>
      </w:tr>
      <w:tr>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D.L. Evans Bank (Ag Lending)</w:t>
            </w:r>
          </w:p>
        </w:tc>
        <w:tc>
          <w:tcPr>
            <w:tcW w:type="dxa" w:w="1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Agricultural finance</w:t>
            </w:r>
          </w:p>
        </w:tc>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Burley / Twin Falls, ID</w:t>
            </w:r>
          </w:p>
        </w:tc>
        <w:tc>
          <w:tcPr>
            <w:tcW w:type="dxa" w:w="2160"/>
            <w:tcBorders>
              <w:top w:val="single" w:color="CCCCCC" w:sz="1"/>
              <w:left w:val="single" w:color="CCCCCC" w:sz="1"/>
              <w:bottom w:val="single" w:color="CCCCCC" w:sz="1"/>
              <w:right w:val="single" w:color="CCCCCC" w:sz="1"/>
            </w:tcBorders>
            <w:shd w:fill="FFF3CD" w:val="clear"/>
            <w:tcMar>
              <w:top w:type="dxa" w:w="80"/>
              <w:left w:type="dxa" w:w="120"/>
              <w:bottom w:type="dxa" w:w="80"/>
              <w:right w:type="dxa" w:w="120"/>
            </w:tcMar>
          </w:tcPr>
          <w:p>
            <w:r>
              <w:rPr>
                <w:rFonts w:ascii="Arial" w:cs="Arial" w:eastAsia="Arial" w:hAnsi="Arial"/>
                <w:sz w:val="20"/>
                <w:szCs w:val="20"/>
              </w:rPr>
              <w:t xml:space="preserve">Last known good: bank directory 2024</w:t>
            </w:r>
          </w:p>
        </w:tc>
      </w:tr>
    </w:tbl>
    <w:p>
      <w:pPr>
        <w:pStyle w:val="Heading2"/>
      </w:pPr>
      <w:r>
        <w:rPr>
          <w:rFonts w:ascii="Arial" w:cs="Arial" w:eastAsia="Arial" w:hAnsi="Arial"/>
          <w:sz w:val="24"/>
          <w:szCs w:val="24"/>
        </w:rPr>
        <w:t xml:space="preserve">L. Regulatory and Policy Organizations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1400"/>
        <w:gridCol w:w="3000"/>
        <w:gridCol w:w="2160"/>
      </w:tblGrid>
      <w:tr>
        <w:trPr>
          <w:tblHeader/>
        </w:trPr>
        <w:tc>
          <w:tcPr>
            <w:tcW w:type="dxa" w:w="28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Organization</w:t>
            </w:r>
          </w:p>
        </w:tc>
        <w:tc>
          <w:tcPr>
            <w:tcW w:type="dxa" w:w="14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Phone</w:t>
            </w:r>
          </w:p>
        </w:tc>
        <w:tc>
          <w:tcPr>
            <w:tcW w:type="dxa" w:w="30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Email / Website</w:t>
            </w:r>
          </w:p>
        </w:tc>
        <w:tc>
          <w:tcPr>
            <w:tcW w:type="dxa" w:w="21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Verified</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Idaho Association of Counties</w:t>
            </w:r>
          </w:p>
        </w:tc>
        <w:tc>
          <w:tcPr>
            <w:tcW w:type="dxa" w:w="1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(208) 345-9126</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idcounties.org</w:t>
            </w:r>
          </w:p>
        </w:tc>
        <w:tc>
          <w:tcPr>
            <w:tcW w:type="dxa" w:w="2160"/>
            <w:tcBorders>
              <w:top w:val="single" w:color="CCCCCC" w:sz="1"/>
              <w:left w:val="single" w:color="CCCCCC" w:sz="1"/>
              <w:bottom w:val="single" w:color="CCCCCC" w:sz="1"/>
              <w:right w:val="single" w:color="CCCCCC" w:sz="1"/>
            </w:tcBorders>
            <w:shd w:fill="FFF3CD" w:val="clear"/>
            <w:tcMar>
              <w:top w:type="dxa" w:w="80"/>
              <w:left w:type="dxa" w:w="120"/>
              <w:bottom w:type="dxa" w:w="80"/>
              <w:right w:type="dxa" w:w="120"/>
            </w:tcMar>
          </w:tcPr>
          <w:p>
            <w:r>
              <w:rPr>
                <w:rFonts w:ascii="Arial" w:cs="Arial" w:eastAsia="Arial" w:hAnsi="Arial"/>
                <w:sz w:val="20"/>
                <w:szCs w:val="20"/>
              </w:rPr>
              <w:t xml:space="preserve">Last known good: website 2024</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Idaho Power Company</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(208) 388-2200</w:t>
            </w:r>
          </w:p>
        </w:tc>
        <w:tc>
          <w:tcPr>
            <w:tcW w:type="dxa" w:w="3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idahopower.com</w:t>
            </w:r>
          </w:p>
        </w:tc>
        <w:tc>
          <w:tcPr>
            <w:tcW w:type="dxa" w:w="21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idahopower.com, Mar 2026</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Idaho Conservation League</w:t>
            </w:r>
          </w:p>
        </w:tc>
        <w:tc>
          <w:tcPr>
            <w:tcW w:type="dxa" w:w="1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(208) 345-6933</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icl.org</w:t>
            </w:r>
          </w:p>
        </w:tc>
        <w:tc>
          <w:tcPr>
            <w:tcW w:type="dxa" w:w="2160"/>
            <w:tcBorders>
              <w:top w:val="single" w:color="CCCCCC" w:sz="1"/>
              <w:left w:val="single" w:color="CCCCCC" w:sz="1"/>
              <w:bottom w:val="single" w:color="CCCCCC" w:sz="1"/>
              <w:right w:val="single" w:color="CCCCCC" w:sz="1"/>
            </w:tcBorders>
            <w:shd w:fill="FFF3CD" w:val="clear"/>
            <w:tcMar>
              <w:top w:type="dxa" w:w="80"/>
              <w:left w:type="dxa" w:w="120"/>
              <w:bottom w:type="dxa" w:w="80"/>
              <w:right w:type="dxa" w:w="120"/>
            </w:tcMar>
          </w:tcPr>
          <w:p>
            <w:r>
              <w:rPr>
                <w:rFonts w:ascii="Arial" w:cs="Arial" w:eastAsia="Arial" w:hAnsi="Arial"/>
                <w:sz w:val="20"/>
                <w:szCs w:val="20"/>
              </w:rPr>
              <w:t xml:space="preserve">Last known good: website 2024</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Idaho Assoc. of Commerce &amp; Industry</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(208) 343-1849</w:t>
            </w:r>
          </w:p>
        </w:tc>
        <w:tc>
          <w:tcPr>
            <w:tcW w:type="dxa" w:w="3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iaci.org</w:t>
            </w:r>
          </w:p>
        </w:tc>
        <w:tc>
          <w:tcPr>
            <w:tcW w:type="dxa" w:w="2160"/>
            <w:tcBorders>
              <w:top w:val="single" w:color="CCCCCC" w:sz="1"/>
              <w:left w:val="single" w:color="CCCCCC" w:sz="1"/>
              <w:bottom w:val="single" w:color="CCCCCC" w:sz="1"/>
              <w:right w:val="single" w:color="CCCCCC" w:sz="1"/>
            </w:tcBorders>
            <w:shd w:fill="FFF3CD" w:val="clear"/>
            <w:tcMar>
              <w:top w:type="dxa" w:w="80"/>
              <w:left w:type="dxa" w:w="120"/>
              <w:bottom w:type="dxa" w:w="80"/>
              <w:right w:type="dxa" w:w="120"/>
            </w:tcMar>
          </w:tcPr>
          <w:p>
            <w:r>
              <w:rPr>
                <w:rFonts w:ascii="Arial" w:cs="Arial" w:eastAsia="Arial" w:hAnsi="Arial"/>
                <w:sz w:val="20"/>
                <w:szCs w:val="20"/>
              </w:rPr>
              <w:t xml:space="preserve">Last known good: website 2024</w:t>
            </w:r>
          </w:p>
        </w:tc>
      </w:tr>
      <w:tr>
        <w:tc>
          <w:tcPr>
            <w:tcW w:type="dxa" w:w="2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USDA Farm Service Agency—Idaho</w:t>
            </w:r>
          </w:p>
        </w:tc>
        <w:tc>
          <w:tcPr>
            <w:tcW w:type="dxa" w:w="1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(208) 378-5650</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fsa.usda.gov</w:t>
            </w:r>
          </w:p>
        </w:tc>
        <w:tc>
          <w:tcPr>
            <w:tcW w:type="dxa" w:w="21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USDA directory</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Idaho NRCS State Office</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(208) 378-5700</w:t>
            </w:r>
          </w:p>
        </w:tc>
        <w:tc>
          <w:tcPr>
            <w:tcW w:type="dxa" w:w="3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nrcs.usda.gov; 9173 W. Barnes Dr., Boise</w:t>
            </w:r>
          </w:p>
        </w:tc>
        <w:tc>
          <w:tcPr>
            <w:tcW w:type="dxa" w:w="21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20"/>
                <w:szCs w:val="20"/>
              </w:rPr>
              <w:t xml:space="preserve">Verified: USDA directory</w:t>
            </w:r>
          </w:p>
        </w:tc>
      </w:tr>
    </w:tbl>
    <w:p>
      <w:pPr>
        <w:spacing w:after="200" w:line="276"/>
      </w:pPr>
      <w:r>
        <w:rPr>
          <w:rFonts w:ascii="Arial" w:cs="Arial" w:eastAsia="Arial" w:hAnsi="Arial"/>
          <w:i/>
          <w:iCs/>
          <w:sz w:val="24"/>
          <w:szCs w:val="24"/>
        </w:rPr>
        <w:t xml:space="preserve">Note: Green = verified via official websites March 2026. Yellow = last known good (2024 directories); confirm before mailing. All Idaho legislative emails follow firstinitial+lastname@senate.idaho.gov or @house.idaho.gov per legislature.idaho.gov. Federal delegation uses web contact forms. This list is not exhaustive; additional stakeholders in feed, equipment, transportation, and veterinary sectors are directly affected.</w:t>
      </w:r>
    </w:p>
    <w:p>
      <w:r>
        <w:br w:type="page"/>
      </w:r>
    </w:p>
    <w:p>
      <w:pPr>
        <w:pStyle w:val="Heading1"/>
      </w:pPr>
      <w:r>
        <w:rPr>
          <w:rFonts w:ascii="Arial" w:cs="Arial" w:eastAsia="Arial" w:hAnsi="Arial"/>
          <w:sz w:val="24"/>
          <w:szCs w:val="24"/>
        </w:rPr>
        <w:t xml:space="preserve">XIII. Glossary</w:t>
      </w:r>
    </w:p>
    <w:p>
      <w:pPr>
        <w:spacing w:after="80"/>
      </w:pPr>
      <w:r>
        <w:rPr>
          <w:rFonts w:ascii="Arial" w:cs="Arial" w:eastAsia="Arial" w:hAnsi="Arial"/>
          <w:b/>
          <w:bCs/>
          <w:sz w:val="24"/>
          <w:szCs w:val="24"/>
        </w:rPr>
        <w:t xml:space="preserve">Acre-foot: </w:t>
      </w:r>
      <w:r>
        <w:rPr>
          <w:rFonts w:ascii="Arial" w:cs="Arial" w:eastAsia="Arial" w:hAnsi="Arial"/>
          <w:sz w:val="24"/>
          <w:szCs w:val="24"/>
        </w:rPr>
        <w:t xml:space="preserve">The volume of water that covers one acre to a depth of one foot; approximately 325,851 gallons. Jerome County’s ESPA is in deficit by 75,300 acre-feet.</w:t>
      </w:r>
    </w:p>
    <w:p>
      <w:pPr>
        <w:spacing w:after="80"/>
      </w:pPr>
      <w:r>
        <w:rPr>
          <w:rFonts w:ascii="Arial" w:cs="Arial" w:eastAsia="Arial" w:hAnsi="Arial"/>
          <w:b/>
          <w:bCs/>
          <w:sz w:val="24"/>
          <w:szCs w:val="24"/>
        </w:rPr>
        <w:t xml:space="preserve">Agrivoltaic: </w:t>
      </w:r>
      <w:r>
        <w:rPr>
          <w:rFonts w:ascii="Arial" w:cs="Arial" w:eastAsia="Arial" w:hAnsi="Arial"/>
          <w:sz w:val="24"/>
          <w:szCs w:val="24"/>
        </w:rPr>
        <w:t xml:space="preserve">Dual-use system combining agriculture and solar panels on the same land. The Chapter 11 draft permits agrivoltaics where crops are demonstrably the primary use.</w:t>
      </w:r>
    </w:p>
    <w:p>
      <w:pPr>
        <w:spacing w:after="80"/>
      </w:pPr>
      <w:r>
        <w:rPr>
          <w:rFonts w:ascii="Arial" w:cs="Arial" w:eastAsia="Arial" w:hAnsi="Arial"/>
          <w:b/>
          <w:bCs/>
          <w:sz w:val="24"/>
          <w:szCs w:val="24"/>
        </w:rPr>
        <w:t xml:space="preserve">Arbitrage (Energy): </w:t>
      </w:r>
      <w:r>
        <w:rPr>
          <w:rFonts w:ascii="Arial" w:cs="Arial" w:eastAsia="Arial" w:hAnsi="Arial"/>
          <w:sz w:val="24"/>
          <w:szCs w:val="24"/>
        </w:rPr>
        <w:t xml:space="preserve">Buying electricity during low-price periods and selling during high-price periods. A 200 MW BESS is primarily an arbitrage operation; grid conditioning requires only 5–25 MW.</w:t>
      </w:r>
    </w:p>
    <w:p>
      <w:pPr>
        <w:spacing w:after="80"/>
      </w:pPr>
      <w:r>
        <w:rPr>
          <w:rFonts w:ascii="Arial" w:cs="Arial" w:eastAsia="Arial" w:hAnsi="Arial"/>
          <w:b/>
          <w:bCs/>
          <w:sz w:val="24"/>
          <w:szCs w:val="24"/>
        </w:rPr>
        <w:t xml:space="preserve">BESS: </w:t>
      </w:r>
      <w:r>
        <w:rPr>
          <w:rFonts w:ascii="Arial" w:cs="Arial" w:eastAsia="Arial" w:hAnsi="Arial"/>
          <w:sz w:val="24"/>
          <w:szCs w:val="24"/>
        </w:rPr>
        <w:t xml:space="preserve">Battery Energy Storage System. Large-scale lithium-ion battery installation for grid storage, typically in shipping containers with cooling, BMS, and fire suppression.</w:t>
      </w:r>
    </w:p>
    <w:p>
      <w:pPr>
        <w:spacing w:after="80"/>
      </w:pPr>
      <w:r>
        <w:rPr>
          <w:rFonts w:ascii="Arial" w:cs="Arial" w:eastAsia="Arial" w:hAnsi="Arial"/>
          <w:b/>
          <w:bCs/>
          <w:sz w:val="24"/>
          <w:szCs w:val="24"/>
        </w:rPr>
        <w:t xml:space="preserve">BMS: </w:t>
      </w:r>
      <w:r>
        <w:rPr>
          <w:rFonts w:ascii="Arial" w:cs="Arial" w:eastAsia="Arial" w:hAnsi="Arial"/>
          <w:sz w:val="24"/>
          <w:szCs w:val="24"/>
        </w:rPr>
        <w:t xml:space="preserve">Battery Management System. The proprietary software that controls charging, discharging, thermal management, and safety shutdowns. 65% of BESS failures are caused by controls/integration, not cells (EPRI 2024).</w:t>
      </w:r>
    </w:p>
    <w:p>
      <w:pPr>
        <w:spacing w:after="80"/>
      </w:pPr>
      <w:r>
        <w:rPr>
          <w:rFonts w:ascii="Arial" w:cs="Arial" w:eastAsia="Arial" w:hAnsi="Arial"/>
          <w:b/>
          <w:bCs/>
          <w:sz w:val="24"/>
          <w:szCs w:val="24"/>
        </w:rPr>
        <w:t xml:space="preserve">Brownfield: </w:t>
      </w:r>
      <w:r>
        <w:rPr>
          <w:rFonts w:ascii="Arial" w:cs="Arial" w:eastAsia="Arial" w:hAnsi="Arial"/>
          <w:sz w:val="24"/>
          <w:szCs w:val="24"/>
        </w:rPr>
        <w:t xml:space="preserve">Previously developed or contaminated land suitable for redevelopment. EPA’s RE-Powering Initiative has screened 190,000+ acres for renewable energy.</w:t>
      </w:r>
    </w:p>
    <w:p>
      <w:pPr>
        <w:spacing w:after="80"/>
      </w:pPr>
      <w:r>
        <w:rPr>
          <w:rFonts w:ascii="Arial" w:cs="Arial" w:eastAsia="Arial" w:hAnsi="Arial"/>
          <w:b/>
          <w:bCs/>
          <w:sz w:val="24"/>
          <w:szCs w:val="24"/>
        </w:rPr>
        <w:t xml:space="preserve">Capacity Factor: </w:t>
      </w:r>
      <w:r>
        <w:rPr>
          <w:rFonts w:ascii="Arial" w:cs="Arial" w:eastAsia="Arial" w:hAnsi="Arial"/>
          <w:sz w:val="24"/>
          <w:szCs w:val="24"/>
        </w:rPr>
        <w:t xml:space="preserve">The ratio of actual electricity output to maximum possible output over a period. Idaho solar: ~23%. This means a 100 MW solar installation produces ~23 MW on average.</w:t>
      </w:r>
    </w:p>
    <w:p>
      <w:pPr>
        <w:spacing w:after="80"/>
      </w:pPr>
      <w:r>
        <w:rPr>
          <w:rFonts w:ascii="Arial" w:cs="Arial" w:eastAsia="Arial" w:hAnsi="Arial"/>
          <w:b/>
          <w:bCs/>
          <w:sz w:val="24"/>
          <w:szCs w:val="24"/>
        </w:rPr>
        <w:t xml:space="preserve">Capacity Payment: </w:t>
      </w:r>
      <w:r>
        <w:rPr>
          <w:rFonts w:ascii="Arial" w:cs="Arial" w:eastAsia="Arial" w:hAnsi="Arial"/>
          <w:sz w:val="24"/>
          <w:szCs w:val="24"/>
        </w:rPr>
        <w:t xml:space="preserve">Payment to a generator for being available to produce electricity during peak periods, regardless of whether it actually generates. A major BESS revenue stream.</w:t>
      </w:r>
    </w:p>
    <w:p>
      <w:pPr>
        <w:spacing w:after="80"/>
      </w:pPr>
      <w:r>
        <w:rPr>
          <w:rFonts w:ascii="Arial" w:cs="Arial" w:eastAsia="Arial" w:hAnsi="Arial"/>
          <w:b/>
          <w:bCs/>
          <w:sz w:val="24"/>
          <w:szCs w:val="24"/>
        </w:rPr>
        <w:t xml:space="preserve">CAISO: </w:t>
      </w:r>
      <w:r>
        <w:rPr>
          <w:rFonts w:ascii="Arial" w:cs="Arial" w:eastAsia="Arial" w:hAnsi="Arial"/>
          <w:sz w:val="24"/>
          <w:szCs w:val="24"/>
        </w:rPr>
        <w:t xml:space="preserve">California Independent System Operator. Manages California’s wholesale electricity market and approved SWIP-N’s development.</w:t>
      </w:r>
    </w:p>
    <w:p>
      <w:pPr>
        <w:spacing w:after="80"/>
      </w:pPr>
      <w:r>
        <w:rPr>
          <w:rFonts w:ascii="Arial" w:cs="Arial" w:eastAsia="Arial" w:hAnsi="Arial"/>
          <w:b/>
          <w:bCs/>
          <w:sz w:val="24"/>
          <w:szCs w:val="24"/>
        </w:rPr>
        <w:t xml:space="preserve">Capital Export: </w:t>
      </w:r>
      <w:r>
        <w:rPr>
          <w:rFonts w:ascii="Arial" w:cs="Arial" w:eastAsia="Arial" w:hAnsi="Arial"/>
          <w:sz w:val="24"/>
          <w:szCs w:val="24"/>
        </w:rPr>
        <w:t xml:space="preserve">The outflow of economic value from a community. In energy development, 90%+ of developer revenue (wholesale electricity, capacity payments, RECs, arbitrage profits) flows to out-of-state corporate treasuries. At 3% conversion, $95–$194M/year leaves Jerome County. Agriculture, by contrast, recirculates 2.8–3.5x locally.</w:t>
      </w:r>
    </w:p>
    <w:p>
      <w:pPr>
        <w:spacing w:after="80"/>
      </w:pPr>
      <w:r>
        <w:rPr>
          <w:rFonts w:ascii="Arial" w:cs="Arial" w:eastAsia="Arial" w:hAnsi="Arial"/>
          <w:b/>
          <w:bCs/>
          <w:sz w:val="24"/>
          <w:szCs w:val="24"/>
        </w:rPr>
        <w:t xml:space="preserve">Class I / Class II Soils: </w:t>
      </w:r>
      <w:r>
        <w:rPr>
          <w:rFonts w:ascii="Arial" w:cs="Arial" w:eastAsia="Arial" w:hAnsi="Arial"/>
          <w:sz w:val="24"/>
          <w:szCs w:val="24"/>
        </w:rPr>
        <w:t xml:space="preserve">USDA NRCS Land Capability Classes. Class I: few limitations, widest range of crops. Class II: moderate limitations. Both are prime farmland. 10,000–15,000 years to form.</w:t>
      </w:r>
    </w:p>
    <w:p>
      <w:pPr>
        <w:spacing w:after="80"/>
      </w:pPr>
      <w:r>
        <w:rPr>
          <w:rFonts w:ascii="Arial" w:cs="Arial" w:eastAsia="Arial" w:hAnsi="Arial"/>
          <w:b/>
          <w:bCs/>
          <w:sz w:val="24"/>
          <w:szCs w:val="24"/>
        </w:rPr>
        <w:t xml:space="preserve">CPCN: </w:t>
      </w:r>
      <w:r>
        <w:rPr>
          <w:rFonts w:ascii="Arial" w:cs="Arial" w:eastAsia="Arial" w:hAnsi="Arial"/>
          <w:sz w:val="24"/>
          <w:szCs w:val="24"/>
        </w:rPr>
        <w:t xml:space="preserve">Certificate of Public Convenience and Necessity. State regulatory approval required for major utility projects. IPUC issued SWIP-N’s CPCN in December 2025.</w:t>
      </w:r>
    </w:p>
    <w:p>
      <w:pPr>
        <w:spacing w:after="80"/>
      </w:pPr>
      <w:r>
        <w:rPr>
          <w:rFonts w:ascii="Arial" w:cs="Arial" w:eastAsia="Arial" w:hAnsi="Arial"/>
          <w:b/>
          <w:bCs/>
          <w:sz w:val="24"/>
          <w:szCs w:val="24"/>
        </w:rPr>
        <w:t xml:space="preserve">CUP: </w:t>
      </w:r>
      <w:r>
        <w:rPr>
          <w:rFonts w:ascii="Arial" w:cs="Arial" w:eastAsia="Arial" w:hAnsi="Arial"/>
          <w:sz w:val="24"/>
          <w:szCs w:val="24"/>
        </w:rPr>
        <w:t xml:space="preserve">Conditional Use Permit. A permit that presumes the use is allowable if conditions are met. Lower evidentiary bar than a Special Use Permit.</w:t>
      </w:r>
    </w:p>
    <w:p>
      <w:pPr>
        <w:spacing w:after="80"/>
      </w:pPr>
      <w:r>
        <w:rPr>
          <w:rFonts w:ascii="Arial" w:cs="Arial" w:eastAsia="Arial" w:hAnsi="Arial"/>
          <w:b/>
          <w:bCs/>
          <w:sz w:val="24"/>
          <w:szCs w:val="24"/>
        </w:rPr>
        <w:t xml:space="preserve">Decommissioning Bond: </w:t>
      </w:r>
      <w:r>
        <w:rPr>
          <w:rFonts w:ascii="Arial" w:cs="Arial" w:eastAsia="Arial" w:hAnsi="Arial"/>
          <w:sz w:val="24"/>
          <w:szCs w:val="24"/>
        </w:rPr>
        <w:t xml:space="preserve">Financial assurance guaranteeing site cleanup after project life. Without one, liability falls to the county. The Chapter 11 draft requires 150% of estimated removal cost.</w:t>
      </w:r>
    </w:p>
    <w:p>
      <w:pPr>
        <w:spacing w:after="80"/>
      </w:pPr>
      <w:r>
        <w:rPr>
          <w:rFonts w:ascii="Arial" w:cs="Arial" w:eastAsia="Arial" w:hAnsi="Arial"/>
          <w:b/>
          <w:bCs/>
          <w:sz w:val="24"/>
          <w:szCs w:val="24"/>
        </w:rPr>
        <w:t xml:space="preserve">ESPA: </w:t>
      </w:r>
      <w:r>
        <w:rPr>
          <w:rFonts w:ascii="Arial" w:cs="Arial" w:eastAsia="Arial" w:hAnsi="Arial"/>
          <w:sz w:val="24"/>
          <w:szCs w:val="24"/>
        </w:rPr>
        <w:t xml:space="preserve">Eastern Snake Plain Aquifer. The groundwater system underlying Jerome County and the Magic Valley, currently in a 75,300 acre-foot deficit with curtailment orders in effect.</w:t>
      </w:r>
    </w:p>
    <w:p>
      <w:pPr>
        <w:spacing w:after="80"/>
      </w:pPr>
      <w:r>
        <w:rPr>
          <w:rFonts w:ascii="Arial" w:cs="Arial" w:eastAsia="Arial" w:hAnsi="Arial"/>
          <w:b/>
          <w:bCs/>
          <w:sz w:val="24"/>
          <w:szCs w:val="24"/>
        </w:rPr>
        <w:t xml:space="preserve">Externality: </w:t>
      </w:r>
      <w:r>
        <w:rPr>
          <w:rFonts w:ascii="Arial" w:cs="Arial" w:eastAsia="Arial" w:hAnsi="Arial"/>
          <w:sz w:val="24"/>
          <w:szCs w:val="24"/>
        </w:rPr>
        <w:t xml:space="preserve">A cost imposed on third parties not involved in a transaction. Energy development externalities include property value decline, rate increases, water competition, and ag production loss—none of which appear in the developer’s project economics.</w:t>
      </w:r>
    </w:p>
    <w:p>
      <w:pPr>
        <w:spacing w:after="80"/>
      </w:pPr>
      <w:r>
        <w:rPr>
          <w:rFonts w:ascii="Arial" w:cs="Arial" w:eastAsia="Arial" w:hAnsi="Arial"/>
          <w:b/>
          <w:bCs/>
          <w:sz w:val="24"/>
          <w:szCs w:val="24"/>
        </w:rPr>
        <w:t xml:space="preserve">FERC: </w:t>
      </w:r>
      <w:r>
        <w:rPr>
          <w:rFonts w:ascii="Arial" w:cs="Arial" w:eastAsia="Arial" w:hAnsi="Arial"/>
          <w:sz w:val="24"/>
          <w:szCs w:val="24"/>
        </w:rPr>
        <w:t xml:space="preserve">Federal Energy Regulatory Commission. Approved SWIP-N incentives and tariff in November 2025.</w:t>
      </w:r>
    </w:p>
    <w:p>
      <w:pPr>
        <w:spacing w:after="80"/>
      </w:pPr>
      <w:r>
        <w:rPr>
          <w:rFonts w:ascii="Arial" w:cs="Arial" w:eastAsia="Arial" w:hAnsi="Arial"/>
          <w:b/>
          <w:bCs/>
          <w:sz w:val="24"/>
          <w:szCs w:val="24"/>
        </w:rPr>
        <w:t xml:space="preserve">FPPA: </w:t>
      </w:r>
      <w:r>
        <w:rPr>
          <w:rFonts w:ascii="Arial" w:cs="Arial" w:eastAsia="Arial" w:hAnsi="Arial"/>
          <w:sz w:val="24"/>
          <w:szCs w:val="24"/>
        </w:rPr>
        <w:t xml:space="preserve">Farmland Protection Policy Act (7 U.S.C. §4201). Federal law using the term “irreversible conversion” to describe permanent farmland loss.</w:t>
      </w:r>
    </w:p>
    <w:p>
      <w:pPr>
        <w:spacing w:after="80"/>
      </w:pPr>
      <w:r>
        <w:rPr>
          <w:rFonts w:ascii="Arial" w:cs="Arial" w:eastAsia="Arial" w:hAnsi="Arial"/>
          <w:b/>
          <w:bCs/>
          <w:sz w:val="24"/>
          <w:szCs w:val="24"/>
        </w:rPr>
        <w:t xml:space="preserve">GBT: </w:t>
      </w:r>
      <w:r>
        <w:rPr>
          <w:rFonts w:ascii="Arial" w:cs="Arial" w:eastAsia="Arial" w:hAnsi="Arial"/>
          <w:sz w:val="24"/>
          <w:szCs w:val="24"/>
        </w:rPr>
        <w:t xml:space="preserve">Great Basin Transmission LLC. LS Power subsidiary developing SWIP-N.</w:t>
      </w:r>
    </w:p>
    <w:p>
      <w:pPr>
        <w:spacing w:after="80"/>
      </w:pPr>
      <w:r>
        <w:rPr>
          <w:rFonts w:ascii="Arial" w:cs="Arial" w:eastAsia="Arial" w:hAnsi="Arial"/>
          <w:b/>
          <w:bCs/>
          <w:sz w:val="24"/>
          <w:szCs w:val="24"/>
        </w:rPr>
        <w:t xml:space="preserve">HCR032: </w:t>
      </w:r>
      <w:r>
        <w:rPr>
          <w:rFonts w:ascii="Arial" w:cs="Arial" w:eastAsia="Arial" w:hAnsi="Arial"/>
          <w:sz w:val="24"/>
          <w:szCs w:val="24"/>
        </w:rPr>
        <w:t xml:space="preserve">Idaho House Concurrent Resolution 32. Passed the Idaho House of Representatives; at time of writing, pending in the Idaho Senate. Declares energy infrastructure harming agriculture, water, or communities “inconsistent with state policy.”</w:t>
      </w:r>
    </w:p>
    <w:p>
      <w:pPr>
        <w:spacing w:after="80"/>
      </w:pPr>
      <w:r>
        <w:rPr>
          <w:rFonts w:ascii="Arial" w:cs="Arial" w:eastAsia="Arial" w:hAnsi="Arial"/>
          <w:b/>
          <w:bCs/>
          <w:sz w:val="24"/>
          <w:szCs w:val="24"/>
        </w:rPr>
        <w:t xml:space="preserve">HF (Hydrogen Fluoride): </w:t>
      </w:r>
      <w:r>
        <w:rPr>
          <w:rFonts w:ascii="Arial" w:cs="Arial" w:eastAsia="Arial" w:hAnsi="Arial"/>
          <w:sz w:val="24"/>
          <w:szCs w:val="24"/>
        </w:rPr>
        <w:t xml:space="preserve">A toxic gas produced during lithium-ion battery thermal runaway. Lethal at concentrations above 30 ppm. Present in both LFP and NMC battery fires.</w:t>
      </w:r>
    </w:p>
    <w:p>
      <w:pPr>
        <w:spacing w:after="80"/>
      </w:pPr>
      <w:r>
        <w:rPr>
          <w:rFonts w:ascii="Arial" w:cs="Arial" w:eastAsia="Arial" w:hAnsi="Arial"/>
          <w:b/>
          <w:bCs/>
          <w:sz w:val="24"/>
          <w:szCs w:val="24"/>
        </w:rPr>
        <w:t xml:space="preserve">IPUC: </w:t>
      </w:r>
      <w:r>
        <w:rPr>
          <w:rFonts w:ascii="Arial" w:cs="Arial" w:eastAsia="Arial" w:hAnsi="Arial"/>
          <w:sz w:val="24"/>
          <w:szCs w:val="24"/>
        </w:rPr>
        <w:t xml:space="preserve">Idaho Public Utilities Commission. Regulates utilities and approved SWIP-N’s CPCN.</w:t>
      </w:r>
    </w:p>
    <w:p>
      <w:pPr>
        <w:spacing w:after="80"/>
      </w:pPr>
      <w:r>
        <w:rPr>
          <w:rFonts w:ascii="Arial" w:cs="Arial" w:eastAsia="Arial" w:hAnsi="Arial"/>
          <w:b/>
          <w:bCs/>
          <w:sz w:val="24"/>
          <w:szCs w:val="24"/>
        </w:rPr>
        <w:t xml:space="preserve">ITC: </w:t>
      </w:r>
      <w:r>
        <w:rPr>
          <w:rFonts w:ascii="Arial" w:cs="Arial" w:eastAsia="Arial" w:hAnsi="Arial"/>
          <w:sz w:val="24"/>
          <w:szCs w:val="24"/>
        </w:rPr>
        <w:t xml:space="preserve">Investment Tax Credit. Federal tax credit (currently 30%) for renewable energy and storage projects. At 10% conversion, the ITC would total $1.32 billion—a federal taxpayer subsidy.</w:t>
      </w:r>
    </w:p>
    <w:p>
      <w:pPr>
        <w:spacing w:after="80"/>
      </w:pPr>
      <w:r>
        <w:rPr>
          <w:rFonts w:ascii="Arial" w:cs="Arial" w:eastAsia="Arial" w:hAnsi="Arial"/>
          <w:b/>
          <w:bCs/>
          <w:sz w:val="24"/>
          <w:szCs w:val="24"/>
        </w:rPr>
        <w:t xml:space="preserve">LFP: </w:t>
      </w:r>
      <w:r>
        <w:rPr>
          <w:rFonts w:ascii="Arial" w:cs="Arial" w:eastAsia="Arial" w:hAnsi="Arial"/>
          <w:sz w:val="24"/>
          <w:szCs w:val="24"/>
        </w:rPr>
        <w:t xml:space="preserve">Lithium Iron Phosphate. Battery chemistry marketed as “safer.” More thermally stable than NMC but produces hydrogen-rich off-gas that reaches explosive concentration faster in enclosed spaces.</w:t>
      </w:r>
    </w:p>
    <w:p>
      <w:pPr>
        <w:spacing w:after="80"/>
      </w:pPr>
      <w:r>
        <w:rPr>
          <w:rFonts w:ascii="Arial" w:cs="Arial" w:eastAsia="Arial" w:hAnsi="Arial"/>
          <w:b/>
          <w:bCs/>
          <w:sz w:val="24"/>
          <w:szCs w:val="24"/>
        </w:rPr>
        <w:t xml:space="preserve">LBNL: </w:t>
      </w:r>
      <w:r>
        <w:rPr>
          <w:rFonts w:ascii="Arial" w:cs="Arial" w:eastAsia="Arial" w:hAnsi="Arial"/>
          <w:sz w:val="24"/>
          <w:szCs w:val="24"/>
        </w:rPr>
        <w:t xml:space="preserve">Lawrence Berkeley National Laboratory. Published the definitive land-use study for utility-scale solar: 7.3 acres/MWac direct use, 8.9 acres/MWac total area (capacity-weighted).</w:t>
      </w:r>
    </w:p>
    <w:p>
      <w:pPr>
        <w:spacing w:after="80"/>
      </w:pPr>
      <w:r>
        <w:rPr>
          <w:rFonts w:ascii="Arial" w:cs="Arial" w:eastAsia="Arial" w:hAnsi="Arial"/>
          <w:b/>
          <w:bCs/>
          <w:sz w:val="24"/>
          <w:szCs w:val="24"/>
        </w:rPr>
        <w:t xml:space="preserve">LLUPA: </w:t>
      </w:r>
      <w:r>
        <w:rPr>
          <w:rFonts w:ascii="Arial" w:cs="Arial" w:eastAsia="Arial" w:hAnsi="Arial"/>
          <w:sz w:val="24"/>
          <w:szCs w:val="24"/>
        </w:rPr>
        <w:t xml:space="preserve">Local Land Use Planning Act (Idaho Code §67-6501 et seq.). Idaho statute authorizing counties to adopt comprehensive plans and zoning ordinances.</w:t>
      </w:r>
    </w:p>
    <w:p>
      <w:pPr>
        <w:spacing w:after="80"/>
      </w:pPr>
      <w:r>
        <w:rPr>
          <w:rFonts w:ascii="Arial" w:cs="Arial" w:eastAsia="Arial" w:hAnsi="Arial"/>
          <w:b/>
          <w:bCs/>
          <w:sz w:val="24"/>
          <w:szCs w:val="24"/>
        </w:rPr>
        <w:t xml:space="preserve">Midpoint Substation: </w:t>
      </w:r>
      <w:r>
        <w:rPr>
          <w:rFonts w:ascii="Arial" w:cs="Arial" w:eastAsia="Arial" w:hAnsi="Arial"/>
          <w:sz w:val="24"/>
          <w:szCs w:val="24"/>
        </w:rPr>
        <w:t xml:space="preserve">Idaho Power substation near Jerome. Northern terminus of SWIP-N and key interconnection point for energy development.</w:t>
      </w:r>
    </w:p>
    <w:p>
      <w:pPr>
        <w:spacing w:after="80"/>
      </w:pPr>
      <w:r>
        <w:rPr>
          <w:rFonts w:ascii="Arial" w:cs="Arial" w:eastAsia="Arial" w:hAnsi="Arial"/>
          <w:b/>
          <w:bCs/>
          <w:sz w:val="24"/>
          <w:szCs w:val="24"/>
        </w:rPr>
        <w:t xml:space="preserve">Multiplier Effect: </w:t>
      </w:r>
      <w:r>
        <w:rPr>
          <w:rFonts w:ascii="Arial" w:cs="Arial" w:eastAsia="Arial" w:hAnsi="Arial"/>
          <w:sz w:val="24"/>
          <w:szCs w:val="24"/>
        </w:rPr>
        <w:t xml:space="preserve">Additional economic activity when initial spending recirculates. Agriculture: 2.8–3.5x (U of I). Energy facilities: ~1.1x locally (most revenue exported).</w:t>
      </w:r>
    </w:p>
    <w:p>
      <w:pPr>
        <w:spacing w:after="80"/>
      </w:pPr>
      <w:r>
        <w:rPr>
          <w:rFonts w:ascii="Arial" w:cs="Arial" w:eastAsia="Arial" w:hAnsi="Arial"/>
          <w:b/>
          <w:bCs/>
          <w:sz w:val="24"/>
          <w:szCs w:val="24"/>
        </w:rPr>
        <w:t xml:space="preserve">NCA: </w:t>
      </w:r>
      <w:r>
        <w:rPr>
          <w:rFonts w:ascii="Arial" w:cs="Arial" w:eastAsia="Arial" w:hAnsi="Arial"/>
          <w:sz w:val="24"/>
          <w:szCs w:val="24"/>
        </w:rPr>
        <w:t xml:space="preserve">Nickel-Cobalt-Aluminum. Battery chemistry used in Samsung SDI’s SBB 1.5 modules supplied to NextEra. High-nickel chemistry in the same family as NMC. Not LFP.</w:t>
      </w:r>
    </w:p>
    <w:p>
      <w:pPr>
        <w:spacing w:after="80"/>
      </w:pPr>
      <w:r>
        <w:rPr>
          <w:rFonts w:ascii="Arial" w:cs="Arial" w:eastAsia="Arial" w:hAnsi="Arial"/>
          <w:b/>
          <w:bCs/>
          <w:sz w:val="24"/>
          <w:szCs w:val="24"/>
        </w:rPr>
        <w:t xml:space="preserve">NMC: </w:t>
      </w:r>
      <w:r>
        <w:rPr>
          <w:rFonts w:ascii="Arial" w:cs="Arial" w:eastAsia="Arial" w:hAnsi="Arial"/>
          <w:sz w:val="24"/>
          <w:szCs w:val="24"/>
        </w:rPr>
        <w:t xml:space="preserve">Nickel-Manganese-Cobalt. Battery chemistry that burned at Moss Landing. Thermal runaway onset at ~200°C. Releases oxygen during failure, intensifying combustion.</w:t>
      </w:r>
    </w:p>
    <w:p>
      <w:pPr>
        <w:spacing w:after="80"/>
      </w:pPr>
      <w:r>
        <w:rPr>
          <w:rFonts w:ascii="Arial" w:cs="Arial" w:eastAsia="Arial" w:hAnsi="Arial"/>
          <w:b/>
          <w:bCs/>
          <w:sz w:val="24"/>
          <w:szCs w:val="24"/>
        </w:rPr>
        <w:t xml:space="preserve">NRCS: </w:t>
      </w:r>
      <w:r>
        <w:rPr>
          <w:rFonts w:ascii="Arial" w:cs="Arial" w:eastAsia="Arial" w:hAnsi="Arial"/>
          <w:sz w:val="24"/>
          <w:szCs w:val="24"/>
        </w:rPr>
        <w:t xml:space="preserve">Natural Resources Conservation Service (USDA). Published Conservation Guidance for Utility-Scale Solar (Dec. 2024) documenting six categories of soil damage.</w:t>
      </w:r>
    </w:p>
    <w:p>
      <w:pPr>
        <w:spacing w:after="80"/>
      </w:pPr>
      <w:r>
        <w:rPr>
          <w:rFonts w:ascii="Arial" w:cs="Arial" w:eastAsia="Arial" w:hAnsi="Arial"/>
          <w:b/>
          <w:bCs/>
          <w:sz w:val="24"/>
          <w:szCs w:val="24"/>
        </w:rPr>
        <w:t xml:space="preserve">PILOT: </w:t>
      </w:r>
      <w:r>
        <w:rPr>
          <w:rFonts w:ascii="Arial" w:cs="Arial" w:eastAsia="Arial" w:hAnsi="Arial"/>
          <w:sz w:val="24"/>
          <w:szCs w:val="24"/>
        </w:rPr>
        <w:t xml:space="preserve">Payment In Lieu of Taxes. Negotiated payments typically 50–80% below standard property tax rates, used by energy developers to reduce their tax burden.</w:t>
      </w:r>
    </w:p>
    <w:p>
      <w:pPr>
        <w:spacing w:after="80"/>
      </w:pPr>
      <w:r>
        <w:rPr>
          <w:rFonts w:ascii="Arial" w:cs="Arial" w:eastAsia="Arial" w:hAnsi="Arial"/>
          <w:b/>
          <w:bCs/>
          <w:sz w:val="24"/>
          <w:szCs w:val="24"/>
        </w:rPr>
        <w:t xml:space="preserve">Prior Appropriation: </w:t>
      </w:r>
      <w:r>
        <w:rPr>
          <w:rFonts w:ascii="Arial" w:cs="Arial" w:eastAsia="Arial" w:hAnsi="Arial"/>
          <w:sz w:val="24"/>
          <w:szCs w:val="24"/>
        </w:rPr>
        <w:t xml:space="preserve">Idaho’s water rights doctrine: “first in time, first in right.” Senior agricultural water rights have priority over junior industrial uses. New industrial demand competes directly.</w:t>
      </w:r>
    </w:p>
    <w:p>
      <w:pPr>
        <w:spacing w:after="80"/>
      </w:pPr>
      <w:r>
        <w:rPr>
          <w:rFonts w:ascii="Arial" w:cs="Arial" w:eastAsia="Arial" w:hAnsi="Arial"/>
          <w:b/>
          <w:bCs/>
          <w:sz w:val="24"/>
          <w:szCs w:val="24"/>
        </w:rPr>
        <w:t xml:space="preserve">REC: </w:t>
      </w:r>
      <w:r>
        <w:rPr>
          <w:rFonts w:ascii="Arial" w:cs="Arial" w:eastAsia="Arial" w:hAnsi="Arial"/>
          <w:sz w:val="24"/>
          <w:szCs w:val="24"/>
        </w:rPr>
        <w:t xml:space="preserve">Renewable Energy Credit. A tradeable certificate representing 1 MWh of renewable generation. A developer revenue stream that does not flow to the host community.</w:t>
      </w:r>
    </w:p>
    <w:p>
      <w:pPr>
        <w:spacing w:after="80"/>
      </w:pPr>
      <w:r>
        <w:rPr>
          <w:rFonts w:ascii="Arial" w:cs="Arial" w:eastAsia="Arial" w:hAnsi="Arial"/>
          <w:b/>
          <w:bCs/>
          <w:sz w:val="24"/>
          <w:szCs w:val="24"/>
        </w:rPr>
        <w:t xml:space="preserve">SB 1133: </w:t>
      </w:r>
      <w:r>
        <w:rPr>
          <w:rFonts w:ascii="Arial" w:cs="Arial" w:eastAsia="Arial" w:hAnsi="Arial"/>
          <w:sz w:val="24"/>
          <w:szCs w:val="24"/>
        </w:rPr>
        <w:t xml:space="preserve">Idaho Senate Bill 1133 (signed April 2025). Prohibits solar/wind structures on Agricultural Protection Area lands.</w:t>
      </w:r>
    </w:p>
    <w:p>
      <w:pPr>
        <w:spacing w:after="80"/>
      </w:pPr>
      <w:r>
        <w:rPr>
          <w:rFonts w:ascii="Arial" w:cs="Arial" w:eastAsia="Arial" w:hAnsi="Arial"/>
          <w:b/>
          <w:bCs/>
          <w:sz w:val="24"/>
          <w:szCs w:val="24"/>
        </w:rPr>
        <w:t xml:space="preserve">SUP: </w:t>
      </w:r>
      <w:r>
        <w:rPr>
          <w:rFonts w:ascii="Arial" w:cs="Arial" w:eastAsia="Arial" w:hAnsi="Arial"/>
          <w:sz w:val="24"/>
          <w:szCs w:val="24"/>
        </w:rPr>
        <w:t xml:space="preserve">Special Use Permit. Higher evidentiary bar than CUP; use is not presumptively allowed. Jerome County’s P&amp;Z voted to replace SUP with CUP for energy projects.</w:t>
      </w:r>
    </w:p>
    <w:p>
      <w:pPr>
        <w:spacing w:after="80"/>
      </w:pPr>
      <w:r>
        <w:rPr>
          <w:rFonts w:ascii="Arial" w:cs="Arial" w:eastAsia="Arial" w:hAnsi="Arial"/>
          <w:b/>
          <w:bCs/>
          <w:sz w:val="24"/>
          <w:szCs w:val="24"/>
        </w:rPr>
        <w:t xml:space="preserve">SWIP-N: </w:t>
      </w:r>
      <w:r>
        <w:rPr>
          <w:rFonts w:ascii="Arial" w:cs="Arial" w:eastAsia="Arial" w:hAnsi="Arial"/>
          <w:sz w:val="24"/>
          <w:szCs w:val="24"/>
        </w:rPr>
        <w:t xml:space="preserve">Southwest Intertie Project–North. 285-mile, 500 kV, $1.23B transmission line from Nevada to Jerome County’s Midpoint substation. 2,000 MW capacity. Target completion 2028.</w:t>
      </w:r>
    </w:p>
    <w:p>
      <w:pPr>
        <w:spacing w:after="80"/>
      </w:pPr>
      <w:r>
        <w:rPr>
          <w:rFonts w:ascii="Arial" w:cs="Arial" w:eastAsia="Arial" w:hAnsi="Arial"/>
          <w:b/>
          <w:bCs/>
          <w:sz w:val="24"/>
          <w:szCs w:val="24"/>
        </w:rPr>
        <w:t xml:space="preserve">Thermal Runaway: </w:t>
      </w:r>
      <w:r>
        <w:rPr>
          <w:rFonts w:ascii="Arial" w:cs="Arial" w:eastAsia="Arial" w:hAnsi="Arial"/>
          <w:sz w:val="24"/>
          <w:szCs w:val="24"/>
        </w:rPr>
        <w:t xml:space="preserve">Self-sustaining chain reaction in a battery cell producing extreme heat, toxic gas, and fire. Once initiated, it is self-sustaining. Traditional firefighting is ineffective.</w:t>
      </w:r>
    </w:p>
    <w:p>
      <w:pPr>
        <w:spacing w:after="80"/>
      </w:pPr>
      <w:r>
        <w:rPr>
          <w:rFonts w:ascii="Arial" w:cs="Arial" w:eastAsia="Arial" w:hAnsi="Arial"/>
          <w:b/>
          <w:bCs/>
          <w:sz w:val="24"/>
          <w:szCs w:val="24"/>
        </w:rPr>
        <w:t xml:space="preserve">Tier 1/2/3: </w:t>
      </w:r>
      <w:r>
        <w:rPr>
          <w:rFonts w:ascii="Arial" w:cs="Arial" w:eastAsia="Arial" w:hAnsi="Arial"/>
          <w:sz w:val="24"/>
          <w:szCs w:val="24"/>
        </w:rPr>
        <w:t xml:space="preserve">Classification system in proposed Chapter 11. Tier 1: personal/on-site (≤50 kW, admin permit). Tier 2: medium (51 kW–25 MW, CUP, P&amp;Z). Tier 3: large (&gt;25 MW, full EIA, BOCC).</w:t>
      </w:r>
    </w:p>
    <w:p>
      <w:r>
        <w:br w:type="page"/>
      </w:r>
    </w:p>
    <w:p>
      <w:pPr>
        <w:pStyle w:val="Heading1"/>
      </w:pPr>
      <w:r>
        <w:rPr>
          <w:rFonts w:ascii="Arial" w:cs="Arial" w:eastAsia="Arial" w:hAnsi="Arial"/>
          <w:sz w:val="24"/>
          <w:szCs w:val="24"/>
        </w:rPr>
        <w:t xml:space="preserve">XIV. Sources and References</w:t>
      </w:r>
    </w:p>
    <w:p>
      <w:pPr>
        <w:pStyle w:val="Heading2"/>
      </w:pPr>
      <w:r>
        <w:rPr>
          <w:rFonts w:ascii="Arial" w:cs="Arial" w:eastAsia="Arial" w:hAnsi="Arial"/>
          <w:sz w:val="24"/>
          <w:szCs w:val="24"/>
        </w:rPr>
        <w:t xml:space="preserve">Federal Agencies</w:t>
      </w:r>
    </w:p>
    <w:p>
      <w:pPr>
        <w:spacing w:after="80"/>
      </w:pPr>
      <w:r>
        <w:rPr>
          <w:rFonts w:ascii="Arial" w:cs="Arial" w:eastAsia="Arial" w:hAnsi="Arial"/>
          <w:sz w:val="22"/>
          <w:szCs w:val="22"/>
        </w:rPr>
        <w:t xml:space="preserve">USDA Census of Agriculture, Jerome County (2022). $944M market value.</w:t>
      </w:r>
    </w:p>
    <w:p>
      <w:pPr>
        <w:spacing w:after="80"/>
      </w:pPr>
      <w:r>
        <w:rPr>
          <w:rFonts w:ascii="Arial" w:cs="Arial" w:eastAsia="Arial" w:hAnsi="Arial"/>
          <w:sz w:val="22"/>
          <w:szCs w:val="22"/>
        </w:rPr>
        <w:t xml:space="preserve">USDA NRCS, Conservation Guidance for Utility-Scale Solar (Dec. 2024).</w:t>
      </w:r>
    </w:p>
    <w:p>
      <w:pPr>
        <w:spacing w:after="80"/>
      </w:pPr>
      <w:r>
        <w:rPr>
          <w:rFonts w:ascii="Arial" w:cs="Arial" w:eastAsia="Arial" w:hAnsi="Arial"/>
          <w:sz w:val="22"/>
          <w:szCs w:val="22"/>
        </w:rPr>
        <w:t xml:space="preserve">FPPA, 7 U.S.C. §4201.</w:t>
      </w:r>
    </w:p>
    <w:p>
      <w:pPr>
        <w:spacing w:after="80"/>
      </w:pPr>
      <w:r>
        <w:rPr>
          <w:rFonts w:ascii="Arial" w:cs="Arial" w:eastAsia="Arial" w:hAnsi="Arial"/>
          <w:sz w:val="22"/>
          <w:szCs w:val="22"/>
        </w:rPr>
        <w:t xml:space="preserve">U.S. EPA RE-Powering America’s Land Initiative. 190,000+ acres.</w:t>
      </w:r>
    </w:p>
    <w:p>
      <w:pPr>
        <w:spacing w:after="80"/>
      </w:pPr>
      <w:r>
        <w:rPr>
          <w:rFonts w:ascii="Arial" w:cs="Arial" w:eastAsia="Arial" w:hAnsi="Arial"/>
          <w:sz w:val="22"/>
          <w:szCs w:val="22"/>
        </w:rPr>
        <w:t xml:space="preserve">U.S. DOE Transmission Facilitation Program—SWIP-N selection (2024). $331M.</w:t>
      </w:r>
    </w:p>
    <w:p>
      <w:pPr>
        <w:spacing w:after="80"/>
      </w:pPr>
      <w:r>
        <w:rPr>
          <w:rFonts w:ascii="Arial" w:cs="Arial" w:eastAsia="Arial" w:hAnsi="Arial"/>
          <w:sz w:val="22"/>
          <w:szCs w:val="22"/>
        </w:rPr>
        <w:t xml:space="preserve">IDWR Director’s Shortfall Determination (July 2025). ESPA: 75,300 acre-feet.</w:t>
      </w:r>
    </w:p>
    <w:p>
      <w:pPr>
        <w:spacing w:after="80"/>
      </w:pPr>
      <w:r>
        <w:rPr>
          <w:rFonts w:ascii="Arial" w:cs="Arial" w:eastAsia="Arial" w:hAnsi="Arial"/>
          <w:sz w:val="22"/>
          <w:szCs w:val="22"/>
        </w:rPr>
        <w:t xml:space="preserve">FERC Order 193 FERC ¶61,094 (Nov. 4, 2025). SWIP-N.</w:t>
      </w:r>
    </w:p>
    <w:p>
      <w:pPr>
        <w:spacing w:after="80"/>
      </w:pPr>
      <w:r>
        <w:rPr>
          <w:rFonts w:ascii="Arial" w:cs="Arial" w:eastAsia="Arial" w:hAnsi="Arial"/>
          <w:sz w:val="22"/>
          <w:szCs w:val="22"/>
        </w:rPr>
        <w:t xml:space="preserve">U.S. DOE Data Center Energy Use Report (2024).</w:t>
      </w:r>
    </w:p>
    <w:p>
      <w:pPr>
        <w:pStyle w:val="Heading2"/>
      </w:pPr>
      <w:r>
        <w:rPr>
          <w:rFonts w:ascii="Arial" w:cs="Arial" w:eastAsia="Arial" w:hAnsi="Arial"/>
          <w:sz w:val="24"/>
          <w:szCs w:val="24"/>
        </w:rPr>
        <w:t xml:space="preserve">State Legislation and Regulatory</w:t>
      </w:r>
    </w:p>
    <w:p>
      <w:pPr>
        <w:spacing w:after="80"/>
      </w:pPr>
      <w:r>
        <w:rPr>
          <w:rFonts w:ascii="Arial" w:cs="Arial" w:eastAsia="Arial" w:hAnsi="Arial"/>
          <w:sz w:val="22"/>
          <w:szCs w:val="22"/>
        </w:rPr>
        <w:t xml:space="preserve">Idaho SB 1133 (April 2025). APA solar/wind prohibition.</w:t>
      </w:r>
    </w:p>
    <w:p>
      <w:pPr>
        <w:spacing w:after="80"/>
      </w:pPr>
      <w:r>
        <w:rPr>
          <w:rFonts w:ascii="Arial" w:cs="Arial" w:eastAsia="Arial" w:hAnsi="Arial"/>
          <w:sz w:val="22"/>
          <w:szCs w:val="22"/>
        </w:rPr>
        <w:t xml:space="preserve">Idaho HCR032 (2026). Passed Idaho House; pending Senate at time of writing. Energy sovereignty resolution.</w:t>
      </w:r>
    </w:p>
    <w:p>
      <w:pPr>
        <w:spacing w:after="80"/>
      </w:pPr>
      <w:r>
        <w:rPr>
          <w:rFonts w:ascii="Arial" w:cs="Arial" w:eastAsia="Arial" w:hAnsi="Arial"/>
          <w:sz w:val="22"/>
          <w:szCs w:val="22"/>
        </w:rPr>
        <w:t xml:space="preserve">Idaho Code §63-602JJ. Solar property tax exemption.</w:t>
      </w:r>
    </w:p>
    <w:p>
      <w:pPr>
        <w:spacing w:after="80"/>
      </w:pPr>
      <w:r>
        <w:rPr>
          <w:rFonts w:ascii="Arial" w:cs="Arial" w:eastAsia="Arial" w:hAnsi="Arial"/>
          <w:sz w:val="22"/>
          <w:szCs w:val="22"/>
        </w:rPr>
        <w:t xml:space="preserve">IPUC CPCN for SWIP-N (December 2025).</w:t>
      </w:r>
    </w:p>
    <w:p>
      <w:pPr>
        <w:spacing w:after="80"/>
      </w:pPr>
      <w:r>
        <w:rPr>
          <w:rFonts w:ascii="Arial" w:cs="Arial" w:eastAsia="Arial" w:hAnsi="Arial"/>
          <w:sz w:val="22"/>
          <w:szCs w:val="22"/>
        </w:rPr>
        <w:t xml:space="preserve">Idaho Power 2025 General Rate Case. 7.48% increase.</w:t>
      </w:r>
    </w:p>
    <w:p>
      <w:pPr>
        <w:spacing w:after="80"/>
      </w:pPr>
      <w:r>
        <w:rPr>
          <w:rFonts w:ascii="Arial" w:cs="Arial" w:eastAsia="Arial" w:hAnsi="Arial"/>
          <w:sz w:val="22"/>
          <w:szCs w:val="22"/>
        </w:rPr>
        <w:t xml:space="preserve">Idaho Power 2025 IRP. 50–75% capacity increase projection.</w:t>
      </w:r>
    </w:p>
    <w:p>
      <w:pPr>
        <w:spacing w:after="80"/>
      </w:pPr>
      <w:r>
        <w:rPr>
          <w:rFonts w:ascii="Arial" w:cs="Arial" w:eastAsia="Arial" w:hAnsi="Arial"/>
          <w:sz w:val="22"/>
          <w:szCs w:val="22"/>
        </w:rPr>
        <w:t xml:space="preserve">Idaho Capital Sun, “Data centers driving sharp increases in farmers’ electric bills” (Feb. 2026).</w:t>
      </w:r>
    </w:p>
    <w:p>
      <w:pPr>
        <w:pStyle w:val="Heading2"/>
      </w:pPr>
      <w:r>
        <w:rPr>
          <w:rFonts w:ascii="Arial" w:cs="Arial" w:eastAsia="Arial" w:hAnsi="Arial"/>
          <w:sz w:val="24"/>
          <w:szCs w:val="24"/>
        </w:rPr>
        <w:t xml:space="preserve">Peer-Reviewed Research</w:t>
      </w:r>
    </w:p>
    <w:p>
      <w:pPr>
        <w:spacing w:after="80"/>
      </w:pPr>
      <w:r>
        <w:rPr>
          <w:rFonts w:ascii="Arial" w:cs="Arial" w:eastAsia="Arial" w:hAnsi="Arial"/>
          <w:sz w:val="22"/>
          <w:szCs w:val="22"/>
        </w:rPr>
        <w:t xml:space="preserve">Hoen et al., PNAS (2025). 4.8% property value decline within 3 mi.</w:t>
      </w:r>
    </w:p>
    <w:p>
      <w:pPr>
        <w:spacing w:after="80"/>
      </w:pPr>
      <w:r>
        <w:rPr>
          <w:rFonts w:ascii="Arial" w:cs="Arial" w:eastAsia="Arial" w:hAnsi="Arial"/>
          <w:sz w:val="22"/>
          <w:szCs w:val="22"/>
        </w:rPr>
        <w:t xml:space="preserve">Hoen et al., LBNL (2023). 1.5–5.8% declines; rural concentration.</w:t>
      </w:r>
    </w:p>
    <w:p>
      <w:pPr>
        <w:spacing w:after="80"/>
      </w:pPr>
      <w:r>
        <w:rPr>
          <w:rFonts w:ascii="Arial" w:cs="Arial" w:eastAsia="Arial" w:hAnsi="Arial"/>
          <w:sz w:val="22"/>
          <w:szCs w:val="22"/>
        </w:rPr>
        <w:t xml:space="preserve">NC State University (2021). 20–40% yield loss post-decommission.</w:t>
      </w:r>
    </w:p>
    <w:p>
      <w:pPr>
        <w:spacing w:after="80"/>
      </w:pPr>
      <w:r>
        <w:rPr>
          <w:rFonts w:ascii="Arial" w:cs="Arial" w:eastAsia="Arial" w:hAnsi="Arial"/>
          <w:sz w:val="22"/>
          <w:szCs w:val="22"/>
        </w:rPr>
        <w:t xml:space="preserve">Welsh Government Soil Policy (2023). 18–30 years to permanent.</w:t>
      </w:r>
    </w:p>
    <w:p>
      <w:pPr>
        <w:spacing w:after="80"/>
      </w:pPr>
      <w:r>
        <w:rPr>
          <w:rFonts w:ascii="Arial" w:cs="Arial" w:eastAsia="Arial" w:hAnsi="Arial"/>
          <w:sz w:val="22"/>
          <w:szCs w:val="22"/>
        </w:rPr>
        <w:t xml:space="preserve">American Farmland Trust, Farms Under Threat 2040.</w:t>
      </w:r>
    </w:p>
    <w:p>
      <w:pPr>
        <w:spacing w:after="80"/>
      </w:pPr>
      <w:r>
        <w:rPr>
          <w:rFonts w:ascii="Arial" w:cs="Arial" w:eastAsia="Arial" w:hAnsi="Arial"/>
          <w:sz w:val="22"/>
          <w:szCs w:val="22"/>
        </w:rPr>
        <w:t xml:space="preserve">University of Idaho Extension, BUL1005: Magic Valley Agribusiness.</w:t>
      </w:r>
    </w:p>
    <w:p>
      <w:pPr>
        <w:spacing w:after="80"/>
      </w:pPr>
      <w:r>
        <w:rPr>
          <w:rFonts w:ascii="Arial" w:cs="Arial" w:eastAsia="Arial" w:hAnsi="Arial"/>
          <w:sz w:val="22"/>
          <w:szCs w:val="22"/>
        </w:rPr>
        <w:t xml:space="preserve">U of I CAFE: Idaho ag $37.5B output, 126,800 jobs.</w:t>
      </w:r>
    </w:p>
    <w:p>
      <w:pPr>
        <w:spacing w:after="80"/>
      </w:pPr>
      <w:r>
        <w:rPr>
          <w:rFonts w:ascii="Arial" w:cs="Arial" w:eastAsia="Arial" w:hAnsi="Arial"/>
          <w:sz w:val="22"/>
          <w:szCs w:val="22"/>
        </w:rPr>
        <w:t xml:space="preserve">Yale School of Management, “This Is How the AI Bubble Bursts” (2025).</w:t>
      </w:r>
    </w:p>
    <w:p>
      <w:pPr>
        <w:spacing w:after="80"/>
      </w:pPr>
      <w:r>
        <w:rPr>
          <w:rFonts w:ascii="Arial" w:cs="Arial" w:eastAsia="Arial" w:hAnsi="Arial"/>
          <w:sz w:val="22"/>
          <w:szCs w:val="22"/>
        </w:rPr>
        <w:t xml:space="preserve">Goldman Sachs, “Middle-class Americans paying for data center boom” (Feb. 2026).</w:t>
      </w:r>
    </w:p>
    <w:p>
      <w:pPr>
        <w:pStyle w:val="Heading2"/>
      </w:pPr>
      <w:r>
        <w:rPr>
          <w:rFonts w:ascii="Arial" w:cs="Arial" w:eastAsia="Arial" w:hAnsi="Arial"/>
          <w:sz w:val="24"/>
          <w:szCs w:val="24"/>
        </w:rPr>
        <w:t xml:space="preserve">Land Use, Pipeline, and Conversion Data</w:t>
      </w:r>
    </w:p>
    <w:p>
      <w:pPr>
        <w:spacing w:after="80"/>
      </w:pPr>
      <w:r>
        <w:rPr>
          <w:rFonts w:ascii="Arial" w:cs="Arial" w:eastAsia="Arial" w:hAnsi="Arial"/>
          <w:sz w:val="22"/>
          <w:szCs w:val="22"/>
        </w:rPr>
        <w:t xml:space="preserve">LBNL, Land Requirements for Utility-Scale PV (2021). Capacity-weighted: 7.3 acres/MWac direct, 8.9 total.</w:t>
      </w:r>
    </w:p>
    <w:p>
      <w:pPr>
        <w:spacing w:after="80"/>
      </w:pPr>
      <w:r>
        <w:rPr>
          <w:rFonts w:ascii="Arial" w:cs="Arial" w:eastAsia="Arial" w:hAnsi="Arial"/>
          <w:sz w:val="22"/>
          <w:szCs w:val="22"/>
        </w:rPr>
        <w:t xml:space="preserve">NREL, Land-Use Requirements for Solar Power Plants (2013; updated methodology through 2019).</w:t>
      </w:r>
    </w:p>
    <w:p>
      <w:pPr>
        <w:spacing w:after="80"/>
      </w:pPr>
      <w:r>
        <w:rPr>
          <w:rFonts w:ascii="Arial" w:cs="Arial" w:eastAsia="Arial" w:hAnsi="Arial"/>
          <w:sz w:val="22"/>
          <w:szCs w:val="22"/>
        </w:rPr>
        <w:t xml:space="preserve">EIA, “Most U.S. utility-scale solar PV power plants are 5 MW or smaller” (2024 data update).</w:t>
      </w:r>
    </w:p>
    <w:p>
      <w:pPr>
        <w:spacing w:after="80"/>
      </w:pPr>
      <w:r>
        <w:rPr>
          <w:rFonts w:ascii="Arial" w:cs="Arial" w:eastAsia="Arial" w:hAnsi="Arial"/>
          <w:sz w:val="22"/>
          <w:szCs w:val="22"/>
        </w:rPr>
        <w:t xml:space="preserve">SEIA, Land Use &amp; Solar Development.</w:t>
      </w:r>
    </w:p>
    <w:p>
      <w:pPr>
        <w:spacing w:after="80"/>
      </w:pPr>
      <w:r>
        <w:rPr>
          <w:rFonts w:ascii="Arial" w:cs="Arial" w:eastAsia="Arial" w:hAnsi="Arial"/>
          <w:sz w:val="22"/>
          <w:szCs w:val="22"/>
        </w:rPr>
        <w:t xml:space="preserve">Reuters, “Solar farms muscle into U.S. farmland as energy needs spike” (2023). Indiana county data: Pulaski 12%, Starke 9%, Jasper 4%.</w:t>
      </w:r>
    </w:p>
    <w:p>
      <w:pPr>
        <w:spacing w:after="80"/>
      </w:pPr>
      <w:r>
        <w:rPr>
          <w:rFonts w:ascii="Arial" w:cs="Arial" w:eastAsia="Arial" w:hAnsi="Arial"/>
          <w:sz w:val="22"/>
          <w:szCs w:val="22"/>
        </w:rPr>
        <w:t xml:space="preserve">American Farmland Trust, Farms Under Threat 2040: 83% of new solar on farmland without policy intervention.</w:t>
      </w:r>
    </w:p>
    <w:p>
      <w:pPr>
        <w:spacing w:after="80"/>
      </w:pPr>
      <w:r>
        <w:rPr>
          <w:rFonts w:ascii="Arial" w:cs="Arial" w:eastAsia="Arial" w:hAnsi="Arial"/>
          <w:sz w:val="22"/>
          <w:szCs w:val="22"/>
        </w:rPr>
        <w:t xml:space="preserve">U.S. DOE, Solar Futures Study: 10.4M acres needed for decarbonized electric sector by 2050.</w:t>
      </w:r>
    </w:p>
    <w:p>
      <w:pPr>
        <w:spacing w:after="80"/>
      </w:pPr>
      <w:r>
        <w:rPr>
          <w:rFonts w:ascii="Arial" w:cs="Arial" w:eastAsia="Arial" w:hAnsi="Arial"/>
          <w:sz w:val="22"/>
          <w:szCs w:val="22"/>
        </w:rPr>
        <w:t xml:space="preserve">Farm Progress, “Solar farms muscle into U.S. farmland” (2024).</w:t>
      </w:r>
    </w:p>
    <w:p>
      <w:pPr>
        <w:spacing w:after="80"/>
      </w:pPr>
      <w:r>
        <w:rPr>
          <w:rFonts w:ascii="Arial" w:cs="Arial" w:eastAsia="Arial" w:hAnsi="Arial"/>
          <w:sz w:val="22"/>
          <w:szCs w:val="22"/>
        </w:rPr>
        <w:t xml:space="preserve">Boise State Public Radio, “Several renewable energy projects are proposed in south-central Idaho” (Feb. 2022).</w:t>
      </w:r>
    </w:p>
    <w:p>
      <w:pPr>
        <w:spacing w:after="80"/>
      </w:pPr>
      <w:r>
        <w:rPr>
          <w:rFonts w:ascii="Arial" w:cs="Arial" w:eastAsia="Arial" w:hAnsi="Arial"/>
          <w:sz w:val="22"/>
          <w:szCs w:val="22"/>
        </w:rPr>
        <w:t xml:space="preserve">Times-News / BLM, Magic Valley Energy project filings (2020/2022). 1,000+ MW, ~10,000 acres near Midpoint.</w:t>
      </w:r>
    </w:p>
    <w:p>
      <w:pPr>
        <w:spacing w:after="80"/>
      </w:pPr>
      <w:r>
        <w:rPr>
          <w:rFonts w:ascii="Arial" w:cs="Arial" w:eastAsia="Arial" w:hAnsi="Arial"/>
          <w:sz w:val="22"/>
          <w:szCs w:val="22"/>
        </w:rPr>
        <w:t xml:space="preserve">BLM, Taurus Wind and Snake River Solar project scoping (2025). 400 MW solar + 500 MW wind + 550 MW BESS.</w:t>
      </w:r>
    </w:p>
    <w:p>
      <w:pPr>
        <w:spacing w:after="80"/>
      </w:pPr>
      <w:r>
        <w:rPr>
          <w:rFonts w:ascii="Arial" w:cs="Arial" w:eastAsia="Arial" w:hAnsi="Arial"/>
          <w:sz w:val="22"/>
          <w:szCs w:val="22"/>
        </w:rPr>
        <w:t xml:space="preserve">Idaho Power LGIP interconnection queue—MPSN 500kV and 345kV entries (2,100 MW combined).</w:t>
      </w:r>
    </w:p>
    <w:p>
      <w:pPr>
        <w:spacing w:after="80"/>
      </w:pPr>
      <w:r>
        <w:rPr>
          <w:rFonts w:ascii="Arial" w:cs="Arial" w:eastAsia="Arial" w:hAnsi="Arial"/>
          <w:sz w:val="22"/>
          <w:szCs w:val="22"/>
        </w:rPr>
        <w:t xml:space="preserve">Interconnection.fyi, Idaho Power queue data (daily updates).</w:t>
      </w:r>
    </w:p>
    <w:p>
      <w:pPr>
        <w:pStyle w:val="Heading2"/>
      </w:pPr>
      <w:r>
        <w:rPr>
          <w:rFonts w:ascii="Arial" w:cs="Arial" w:eastAsia="Arial" w:hAnsi="Arial"/>
          <w:sz w:val="24"/>
          <w:szCs w:val="24"/>
        </w:rPr>
        <w:t xml:space="preserve">SWIP-N Sources</w:t>
      </w:r>
    </w:p>
    <w:p>
      <w:pPr>
        <w:spacing w:after="80"/>
      </w:pPr>
      <w:r>
        <w:rPr>
          <w:rFonts w:ascii="Arial" w:cs="Arial" w:eastAsia="Arial" w:hAnsi="Arial"/>
          <w:sz w:val="22"/>
          <w:szCs w:val="22"/>
        </w:rPr>
        <w:t xml:space="preserve">LS Power / Great Basin Transmission project page.</w:t>
      </w:r>
    </w:p>
    <w:p>
      <w:pPr>
        <w:spacing w:after="80"/>
      </w:pPr>
      <w:r>
        <w:rPr>
          <w:rFonts w:ascii="Arial" w:cs="Arial" w:eastAsia="Arial" w:hAnsi="Arial"/>
          <w:sz w:val="22"/>
          <w:szCs w:val="22"/>
        </w:rPr>
        <w:t xml:space="preserve">Idaho Power SWIP-North project page.</w:t>
      </w:r>
    </w:p>
    <w:p>
      <w:pPr>
        <w:spacing w:after="80"/>
      </w:pPr>
      <w:r>
        <w:rPr>
          <w:rFonts w:ascii="Arial" w:cs="Arial" w:eastAsia="Arial" w:hAnsi="Arial"/>
          <w:sz w:val="22"/>
          <w:szCs w:val="22"/>
        </w:rPr>
        <w:t xml:space="preserve">Capital Press, “Idaho PUC advances SWIP-North” (Dec. 2025).</w:t>
      </w:r>
    </w:p>
    <w:p>
      <w:pPr>
        <w:spacing w:after="80"/>
      </w:pPr>
      <w:r>
        <w:rPr>
          <w:rFonts w:ascii="Arial" w:cs="Arial" w:eastAsia="Arial" w:hAnsi="Arial"/>
          <w:sz w:val="22"/>
          <w:szCs w:val="22"/>
        </w:rPr>
        <w:t xml:space="preserve">RTO Insider, “FERC Approves Incentives for SWIP-North” (Nov. 2025).</w:t>
      </w:r>
    </w:p>
    <w:p>
      <w:pPr>
        <w:spacing w:after="80"/>
      </w:pPr>
      <w:r>
        <w:rPr>
          <w:rFonts w:ascii="Arial" w:cs="Arial" w:eastAsia="Arial" w:hAnsi="Arial"/>
          <w:sz w:val="22"/>
          <w:szCs w:val="22"/>
        </w:rPr>
        <w:t xml:space="preserve">Brattle Group SWIP-North Benefits Analysis.</w:t>
      </w:r>
    </w:p>
    <w:p>
      <w:pPr>
        <w:spacing w:after="80"/>
      </w:pPr>
      <w:r>
        <w:rPr>
          <w:rFonts w:ascii="Arial" w:cs="Arial" w:eastAsia="Arial" w:hAnsi="Arial"/>
          <w:sz w:val="22"/>
          <w:szCs w:val="22"/>
        </w:rPr>
        <w:t xml:space="preserve">CAISO Annual Report on Market Issues and Performance (2024).</w:t>
      </w:r>
    </w:p>
    <w:p>
      <w:pPr>
        <w:spacing w:after="80"/>
      </w:pPr>
      <w:r>
        <w:rPr>
          <w:rFonts w:ascii="Arial" w:cs="Arial" w:eastAsia="Arial" w:hAnsi="Arial"/>
          <w:sz w:val="22"/>
          <w:szCs w:val="22"/>
        </w:rPr>
        <w:t xml:space="preserve">CAISO Day-Ahead Market Price Data (OASIS); Western EIM price clearing data.</w:t>
      </w:r>
    </w:p>
    <w:p>
      <w:pPr>
        <w:pStyle w:val="Heading2"/>
      </w:pPr>
      <w:r>
        <w:rPr>
          <w:rFonts w:ascii="Arial" w:cs="Arial" w:eastAsia="Arial" w:hAnsi="Arial"/>
          <w:sz w:val="24"/>
          <w:szCs w:val="24"/>
        </w:rPr>
        <w:t xml:space="preserve">Legal and Constitutional</w:t>
      </w:r>
    </w:p>
    <w:p>
      <w:pPr>
        <w:spacing w:after="80"/>
      </w:pPr>
      <w:r>
        <w:rPr>
          <w:rFonts w:ascii="Arial" w:cs="Arial" w:eastAsia="Arial" w:hAnsi="Arial"/>
          <w:sz w:val="22"/>
          <w:szCs w:val="22"/>
        </w:rPr>
        <w:t xml:space="preserve">Village of Euclid v. Ambler Realty Co., 272 U.S. 365 (1926).</w:t>
      </w:r>
    </w:p>
    <w:p>
      <w:pPr>
        <w:spacing w:after="80"/>
      </w:pPr>
      <w:r>
        <w:rPr>
          <w:rFonts w:ascii="Arial" w:cs="Arial" w:eastAsia="Arial" w:hAnsi="Arial"/>
          <w:sz w:val="22"/>
          <w:szCs w:val="22"/>
        </w:rPr>
        <w:t xml:space="preserve">Penn Central v. City of New York, 438 U.S. 104 (1978).</w:t>
      </w:r>
    </w:p>
    <w:p>
      <w:pPr>
        <w:spacing w:after="80"/>
      </w:pPr>
      <w:r>
        <w:rPr>
          <w:rFonts w:ascii="Arial" w:cs="Arial" w:eastAsia="Arial" w:hAnsi="Arial"/>
          <w:sz w:val="22"/>
          <w:szCs w:val="22"/>
        </w:rPr>
        <w:t xml:space="preserve">Nollan v. Cal. Coastal Comm’n, 483 U.S. 825 (1987).</w:t>
      </w:r>
    </w:p>
    <w:p>
      <w:pPr>
        <w:spacing w:after="80"/>
      </w:pPr>
      <w:r>
        <w:rPr>
          <w:rFonts w:ascii="Arial" w:cs="Arial" w:eastAsia="Arial" w:hAnsi="Arial"/>
          <w:sz w:val="22"/>
          <w:szCs w:val="22"/>
        </w:rPr>
        <w:t xml:space="preserve">Dolan v. City of Tigard, 512 U.S. 374 (1994).</w:t>
      </w:r>
    </w:p>
    <w:p>
      <w:pPr>
        <w:spacing w:after="80"/>
      </w:pPr>
      <w:r>
        <w:rPr>
          <w:rFonts w:ascii="Arial" w:cs="Arial" w:eastAsia="Arial" w:hAnsi="Arial"/>
          <w:sz w:val="22"/>
          <w:szCs w:val="22"/>
        </w:rPr>
        <w:t xml:space="preserve">Bannock County, ID—total ban (March 2024).</w:t>
      </w:r>
    </w:p>
    <w:p>
      <w:pPr>
        <w:spacing w:after="80"/>
      </w:pPr>
      <w:r>
        <w:rPr>
          <w:rFonts w:ascii="Arial" w:cs="Arial" w:eastAsia="Arial" w:hAnsi="Arial"/>
          <w:sz w:val="22"/>
          <w:szCs w:val="22"/>
        </w:rPr>
        <w:t xml:space="preserve">Cecil County &amp; Montgomery County, MD—Class I/II prohibitions.</w:t>
      </w:r>
    </w:p>
    <w:p>
      <w:pPr>
        <w:pStyle w:val="Heading2"/>
      </w:pPr>
      <w:r>
        <w:rPr>
          <w:rFonts w:ascii="Arial" w:cs="Arial" w:eastAsia="Arial" w:hAnsi="Arial"/>
          <w:sz w:val="24"/>
          <w:szCs w:val="24"/>
        </w:rPr>
        <w:t xml:space="preserve">Community Data</w:t>
      </w:r>
    </w:p>
    <w:p>
      <w:pPr>
        <w:spacing w:after="80"/>
      </w:pPr>
      <w:r>
        <w:rPr>
          <w:rFonts w:ascii="Arial" w:cs="Arial" w:eastAsia="Arial" w:hAnsi="Arial"/>
          <w:sz w:val="22"/>
          <w:szCs w:val="22"/>
        </w:rPr>
        <w:t xml:space="preserve">JTown Beacon Community Survey (March 2026, 65 respondents).</w:t>
      </w:r>
    </w:p>
    <w:p>
      <w:pPr>
        <w:spacing w:after="80"/>
      </w:pPr>
      <w:r>
        <w:rPr>
          <w:rFonts w:ascii="Arial" w:cs="Arial" w:eastAsia="Arial" w:hAnsi="Arial"/>
          <w:sz w:val="22"/>
          <w:szCs w:val="22"/>
        </w:rPr>
        <w:t xml:space="preserve">Jerome County P&amp;Z Minutes (January 26, 2026).</w:t>
      </w:r>
    </w:p>
    <w:p>
      <w:pPr>
        <w:spacing w:after="80"/>
      </w:pPr>
      <w:r>
        <w:rPr>
          <w:rFonts w:ascii="Arial" w:cs="Arial" w:eastAsia="Arial" w:hAnsi="Arial"/>
          <w:sz w:val="22"/>
          <w:szCs w:val="22"/>
        </w:rPr>
        <w:t xml:space="preserve">Jerome County Comprehensive Plan.</w:t>
      </w:r>
    </w:p>
    <w:p>
      <w:pPr>
        <w:spacing w:after="80"/>
      </w:pPr>
      <w:r>
        <w:rPr>
          <w:rFonts w:ascii="Arial" w:cs="Arial" w:eastAsia="Arial" w:hAnsi="Arial"/>
          <w:sz w:val="22"/>
          <w:szCs w:val="22"/>
        </w:rPr>
        <w:t xml:space="preserve">NASS Idaho Cropland Cash Rent (2024). Jerome County: $415/acre.</w:t>
      </w:r>
    </w:p>
    <w:p>
      <w:r>
        <w:br w:type="page"/>
      </w:r>
    </w:p>
    <w:p>
      <w:pPr>
        <w:pStyle w:val="Heading1"/>
      </w:pPr>
      <w:r>
        <w:rPr>
          <w:rFonts w:ascii="Arial" w:cs="Arial" w:eastAsia="Arial" w:hAnsi="Arial"/>
          <w:sz w:val="24"/>
          <w:szCs w:val="24"/>
        </w:rPr>
        <w:t xml:space="preserve">Document Revision History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1300"/>
        <w:gridCol w:w="6260"/>
        <w:gridCol w:w="1100"/>
      </w:tblGrid>
      <w:tr>
        <w:trPr>
          <w:tblHeader/>
        </w:trPr>
        <w:tc>
          <w:tcPr>
            <w:tcW w:type="dxa" w:w="7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Version</w:t>
            </w:r>
          </w:p>
        </w:tc>
        <w:tc>
          <w:tcPr>
            <w:tcW w:type="dxa" w:w="13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Date</w:t>
            </w:r>
          </w:p>
        </w:tc>
        <w:tc>
          <w:tcPr>
            <w:tcW w:type="dxa" w:w="626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Changes</w:t>
            </w:r>
          </w:p>
        </w:tc>
        <w:tc>
          <w:tcPr>
            <w:tcW w:type="dxa" w:w="11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By</w:t>
            </w:r>
          </w:p>
        </w:tc>
      </w:tr>
      <w:tr>
        <w:tc>
          <w:tcPr>
            <w:tcW w:type="dxa" w:w="7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v1</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Mar 25, 2026</w:t>
            </w:r>
          </w:p>
        </w:tc>
        <w:tc>
          <w:tcPr>
            <w:tcW w:type="dxa" w:w="6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Initial: conversion modeling, SWIP-N, 1st–4th order effects, strategic alignment, jobs/GDP, free-market critique.</w:t>
            </w:r>
          </w:p>
        </w:tc>
        <w:tc>
          <w:tcPr>
            <w:tcW w:type="dxa" w:w="1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J. Pierson</w:t>
            </w:r>
          </w:p>
        </w:tc>
      </w:tr>
      <w:tr>
        <w:tc>
          <w:tcPr>
            <w:tcW w:type="dxa" w:w="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v2</w:t>
            </w:r>
          </w:p>
        </w:tc>
        <w:tc>
          <w:tcPr>
            <w:tcW w:type="dxa" w:w="1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Mar 25, 2026</w:t>
            </w:r>
          </w:p>
        </w:tc>
        <w:tc>
          <w:tcPr>
            <w:tcW w:type="dxa" w:w="62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Added: bottom-up energy production math, BLUF, break-even analysis, capital export tracking, CAISO/SWIP-N energy export and pricing, 1st-order employment methodology, feed cost/dairy impact, working/middle-class family impact, government dependency, utility rate burden, 33 questions, 10 objections, expanded glossary, TOC. Corrected HCR032 status.</w:t>
            </w:r>
          </w:p>
        </w:tc>
        <w:tc>
          <w:tcPr>
            <w:tcW w:type="dxa" w:w="1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J. Pierson</w:t>
            </w:r>
          </w:p>
        </w:tc>
      </w:tr>
      <w:tr>
        <w:tc>
          <w:tcPr>
            <w:tcW w:type="dxa" w:w="7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v3</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Mar 25, 2026</w:t>
            </w:r>
          </w:p>
        </w:tc>
        <w:tc>
          <w:tcPr>
            <w:tcW w:type="dxa" w:w="6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Added: Section IV (Projected Conversion), pipeline inventory, Indiana/national comparisons, 5-yr/10-yr projections, Jerome County as national target. Updated BLUF with pipeline data. Reordered for improved flow.</w:t>
            </w:r>
          </w:p>
        </w:tc>
        <w:tc>
          <w:tcPr>
            <w:tcW w:type="dxa" w:w="1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J. Pierson</w:t>
            </w:r>
          </w:p>
        </w:tc>
      </w:tr>
      <w:tr>
        <w:tc>
          <w:tcPr>
            <w:tcW w:type="dxa" w:w="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v4</w:t>
            </w:r>
          </w:p>
        </w:tc>
        <w:tc>
          <w:tcPr>
            <w:tcW w:type="dxa" w:w="1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Mar 25, 2026</w:t>
            </w:r>
          </w:p>
        </w:tc>
        <w:tc>
          <w:tcPr>
            <w:tcW w:type="dxa" w:w="62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Added: Cover letter, Distribution List (Section XII), capital export analysis in BLUF, corrected NET REVENUE ranges, added Capital Export and LBNL glossary entries. Document review.</w:t>
            </w:r>
          </w:p>
        </w:tc>
        <w:tc>
          <w:tcPr>
            <w:tcW w:type="dxa" w:w="1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J. Pierson</w:t>
            </w:r>
          </w:p>
        </w:tc>
      </w:tr>
      <w:tr>
        <w:tc>
          <w:tcPr>
            <w:tcW w:type="dxa" w:w="7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v5</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Mar 25, 2026</w:t>
            </w:r>
          </w:p>
        </w:tc>
        <w:tc>
          <w:tcPr>
            <w:tcW w:type="dxa" w:w="6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Added: Section IV-E — National and Idaho Solar Farm Context (2,500+ US plants, 1.25M acres converted, Jerome pipeline vs. state totals, USDA 2025 policy shift). Distribution List updated with verification dates and source attribution for every entry (green = verified Mar 2026, yellow = last known good 2024). Jerome County commissioner phone corrected to (208) 644-2700. Revision block and TOC confirmed current.</w:t>
            </w:r>
          </w:p>
        </w:tc>
        <w:tc>
          <w:tcPr>
            <w:tcW w:type="dxa" w:w="1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J. Pierson</w:t>
            </w:r>
          </w:p>
        </w:tc>
      </w:tr>
      <w:tr>
        <w:tc>
          <w:tcPr>
            <w:tcW w:type="dxa" w:w="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v6</w:t>
            </w:r>
          </w:p>
        </w:tc>
        <w:tc>
          <w:tcPr>
            <w:tcW w:type="dxa" w:w="1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Mar 25, 2026</w:t>
            </w:r>
          </w:p>
        </w:tc>
        <w:tc>
          <w:tcPr>
            <w:tcW w:type="dxa" w:w="62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Author updated to Jeff A Pierson. Document marked as DRAFT. Questions (Section X) reformatted as individually numbered list. Increased body text size (12pt), heading spacing, table text, and line spacing for improved readability. Distribution list expanded with full legislative committee rosters and email addresses.</w:t>
            </w:r>
          </w:p>
        </w:tc>
        <w:tc>
          <w:tcPr>
            <w:tcW w:type="dxa" w:w="1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val="false"/>
                <w:bCs w:val="false"/>
                <w:sz w:val="20"/>
                <w:szCs w:val="20"/>
              </w:rPr>
              <w:t xml:space="preserve">J. A. Pierson</w:t>
            </w:r>
          </w:p>
        </w:tc>
      </w:tr>
      <w:tr>
        <w:tc>
          <w:tcPr>
            <w:tcW w:type="dxa" w:w="7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v7</w:t>
            </w:r>
          </w:p>
        </w:tc>
        <w:tc>
          <w:tcPr>
            <w:tcW w:type="dxa" w:w="13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Mar 25, 2026</w:t>
            </w:r>
          </w:p>
        </w:tc>
        <w:tc>
          <w:tcPr>
            <w:tcW w:type="dxa" w:w="62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Section V restructured: renamed to ‘Cascading Effects on Agriculture, Dairy, and Food Processing.’ Dairy feed chain, food processor threat, herd consolidation, and processing contraction elevated to h2-level headings visible in TOC. Named affected processors (Chobani, Glanbia, Lactalis, Idaho Milk Products, Agropur, Amalgamated Sugar) in headings and body. Fourth-order expanded with stranded food processing capital analysis.</w:t>
            </w:r>
          </w:p>
        </w:tc>
        <w:tc>
          <w:tcPr>
            <w:tcW w:type="dxa" w:w="11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J. A. Pierson</w:t>
            </w:r>
          </w:p>
        </w:tc>
      </w:tr>
    </w:tbl>
    <w:p>
      <w:pPr>
        <w:spacing w:before="600"/>
        <w:jc w:val="center"/>
      </w:pPr>
      <w:r>
        <w:rPr>
          <w:rFonts w:ascii="Arial" w:cs="Arial" w:eastAsia="Arial" w:hAnsi="Arial"/>
          <w:color w:val="666666"/>
          <w:sz w:val="20"/>
          <w:szCs w:val="20"/>
        </w:rPr>
        <w:t xml:space="preserve">DRAFT — Prepared by Jeff A Pierson • 713 East Ave C, Jerome, Idaho • March 25, 2026</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1"/>
      </w:pBdr>
    </w:pPr>
    <w:r>
      <w:rPr>
        <w:rFonts w:ascii="Arial" w:cs="Arial" w:eastAsia="Arial" w:hAnsi="Arial"/>
        <w:color w:val="999999"/>
        <w:sz w:val="14"/>
        <w:szCs w:val="14"/>
      </w:rPr>
      <w:t xml:space="preserve">DRAFT — Prepared by Jeff A Pierson — Page </w:t>
    </w:r>
    <w:r>
      <w:rPr>
        <w:rFonts w:ascii="Arial" w:cs="Arial" w:eastAsia="Arial" w:hAnsi="Arial"/>
        <w:color w:val="999999"/>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75B6" w:sz="6" w:space="1"/>
      </w:pBdr>
      <w:spacing w:after="200" w:line="276"/>
    </w:pPr>
    <w:r>
      <w:rPr>
        <w:rFonts w:ascii="Arial" w:cs="Arial" w:eastAsia="Arial" w:hAnsi="Arial"/>
        <w:color w:val="999999"/>
        <w:sz w:val="16"/>
        <w:szCs w:val="16"/>
      </w:rPr>
      <w:t xml:space="preserve">DRAFT — Economic Value Assessment — Jerome County Farmland vs. Energy Conversion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480"/>
      <w:outlineLvl w:val="0"/>
    </w:pPr>
    <w:rPr>
      <w:rFonts w:ascii="Arial" w:cs="Arial" w:eastAsia="Arial" w:hAnsi="Arial"/>
      <w:b/>
      <w:bCs/>
      <w:color w:val="1B3A5C"/>
      <w:sz w:val="36"/>
      <w:szCs w:val="36"/>
    </w:rPr>
  </w:style>
  <w:style w:type="paragraph" w:styleId="Heading2">
    <w:name w:val="Heading 2"/>
    <w:basedOn w:val="Normal"/>
    <w:next w:val="Normal"/>
    <w:qFormat/>
    <w:pPr>
      <w:spacing w:after="200" w:before="360"/>
      <w:outlineLvl w:val="1"/>
    </w:pPr>
    <w:rPr>
      <w:rFonts w:ascii="Arial" w:cs="Arial" w:eastAsia="Arial" w:hAnsi="Arial"/>
      <w:b/>
      <w:bCs/>
      <w:color w:val="2E75B6"/>
      <w:sz w:val="28"/>
      <w:szCs w:val="28"/>
    </w:rPr>
  </w:style>
  <w:style w:type="paragraph" w:styleId="Heading3">
    <w:name w:val="Heading 3"/>
    <w:basedOn w:val="Normal"/>
    <w:next w:val="Normal"/>
    <w:qFormat/>
    <w:pPr>
      <w:spacing w:after="160" w:before="280"/>
      <w:outlineLvl w:val="2"/>
    </w:pPr>
    <w:rPr>
      <w:rFonts w:ascii="Arial" w:cs="Arial" w:eastAsia="Arial" w:hAnsi="Arial"/>
      <w:b/>
      <w:bCs/>
      <w:color w:val="1B3A5C"/>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2026-03-25T19:44:32.881Z</dcterms:created>
  <dcterms:modified xsi:type="dcterms:W3CDTF">2026-03-25T19:44:32.881Z</dcterms:modified>
</cp:coreProperties>
</file>

<file path=docProps/custom.xml><?xml version="1.0" encoding="utf-8"?>
<Properties xmlns="http://schemas.openxmlformats.org/officeDocument/2006/custom-properties" xmlns:vt="http://schemas.openxmlformats.org/officeDocument/2006/docPropsVTypes"/>
</file>