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E60CA" w14:textId="77777777" w:rsidR="00D11E5F" w:rsidRDefault="00D11E5F">
      <w:pPr>
        <w:spacing w:before="3600"/>
      </w:pPr>
    </w:p>
    <w:p w14:paraId="14840751" w14:textId="77777777" w:rsidR="00D11E5F" w:rsidRDefault="00000000">
      <w:pPr>
        <w:spacing w:after="200"/>
        <w:jc w:val="center"/>
      </w:pPr>
      <w:r>
        <w:rPr>
          <w:b/>
          <w:bCs/>
          <w:color w:val="1B3A5C"/>
          <w:sz w:val="40"/>
          <w:szCs w:val="40"/>
        </w:rPr>
        <w:t>SIDE-BY-SIDE REBUTTAL</w:t>
      </w:r>
    </w:p>
    <w:p w14:paraId="2819716A" w14:textId="77777777" w:rsidR="00D11E5F" w:rsidRDefault="00000000">
      <w:pPr>
        <w:spacing w:after="200"/>
        <w:jc w:val="center"/>
      </w:pPr>
      <w:r>
        <w:rPr>
          <w:color w:val="2E75B6"/>
          <w:sz w:val="28"/>
          <w:szCs w:val="28"/>
        </w:rPr>
        <w:t>Industry Testimony vs. Factual Record</w:t>
      </w:r>
    </w:p>
    <w:p w14:paraId="7320B1D1" w14:textId="77777777" w:rsidR="00D11E5F" w:rsidRDefault="00000000">
      <w:pPr>
        <w:spacing w:after="100"/>
        <w:jc w:val="center"/>
      </w:pPr>
      <w:r>
        <w:t>Jerome County P&amp;Z Commission Hearing — January 26, 2026</w:t>
      </w:r>
    </w:p>
    <w:p w14:paraId="4852959D" w14:textId="77777777" w:rsidR="00D11E5F" w:rsidRDefault="00000000">
      <w:pPr>
        <w:spacing w:before="600"/>
        <w:jc w:val="center"/>
      </w:pPr>
      <w:r>
        <w:t>Analysis of False, Misleading, Incomplete, and Unsupported Statements</w:t>
      </w:r>
    </w:p>
    <w:p w14:paraId="23427716" w14:textId="77777777" w:rsidR="00D11E5F" w:rsidRDefault="00000000">
      <w:pPr>
        <w:jc w:val="center"/>
      </w:pPr>
      <w:r>
        <w:t>in Industry Testimony Before the Jerome County Planning &amp; Zoning Commission</w:t>
      </w:r>
    </w:p>
    <w:p w14:paraId="47DF52AB" w14:textId="77777777" w:rsidR="00D11E5F" w:rsidRDefault="00000000">
      <w:pPr>
        <w:spacing w:before="1200"/>
        <w:jc w:val="center"/>
      </w:pPr>
      <w:r>
        <w:rPr>
          <w:color w:val="666666"/>
          <w:sz w:val="20"/>
          <w:szCs w:val="20"/>
        </w:rPr>
        <w:t>Prepared by Jeff Pierson</w:t>
      </w:r>
    </w:p>
    <w:p w14:paraId="5D73557E" w14:textId="77777777" w:rsidR="00D11E5F" w:rsidRDefault="00000000">
      <w:pPr>
        <w:jc w:val="center"/>
      </w:pPr>
      <w:r>
        <w:rPr>
          <w:color w:val="666666"/>
          <w:sz w:val="20"/>
          <w:szCs w:val="20"/>
        </w:rPr>
        <w:t>Confidential Solutions LLC | Jerome, Idaho</w:t>
      </w:r>
    </w:p>
    <w:p w14:paraId="2CA3A7C7" w14:textId="77777777" w:rsidR="00D11E5F" w:rsidRDefault="00000000">
      <w:pPr>
        <w:spacing w:before="200"/>
        <w:jc w:val="center"/>
      </w:pPr>
      <w:r>
        <w:rPr>
          <w:color w:val="666666"/>
          <w:sz w:val="20"/>
          <w:szCs w:val="20"/>
        </w:rPr>
        <w:t>March 25, 2026</w:t>
      </w:r>
    </w:p>
    <w:p w14:paraId="1D685171" w14:textId="77777777" w:rsidR="00D11E5F" w:rsidRDefault="00000000">
      <w:r>
        <w:br w:type="page"/>
      </w:r>
    </w:p>
    <w:p w14:paraId="46090EDA" w14:textId="77777777" w:rsidR="00D11E5F" w:rsidRDefault="00D11E5F">
      <w:pPr>
        <w:sectPr w:rsidR="00D11E5F">
          <w:pgSz w:w="12240" w:h="15840"/>
          <w:pgMar w:top="1440" w:right="1440" w:bottom="1440" w:left="1440" w:header="708" w:footer="708" w:gutter="0"/>
          <w:cols w:space="720"/>
          <w:docGrid w:linePitch="360"/>
        </w:sectPr>
      </w:pPr>
    </w:p>
    <w:p w14:paraId="648BA0E0" w14:textId="77777777" w:rsidR="00D11E5F" w:rsidRDefault="00000000">
      <w:pPr>
        <w:pStyle w:val="Heading1"/>
      </w:pPr>
      <w:r>
        <w:lastRenderedPageBreak/>
        <w:t>Executive Summary</w:t>
      </w:r>
    </w:p>
    <w:p w14:paraId="5BA7AFDA" w14:textId="77777777" w:rsidR="00D11E5F" w:rsidRDefault="00000000">
      <w:pPr>
        <w:spacing w:after="120"/>
      </w:pPr>
      <w:r>
        <w:rPr>
          <w:sz w:val="21"/>
          <w:szCs w:val="21"/>
        </w:rPr>
        <w:t>On January 26, 2026, seven coordinated industry speakers from four companies (NextEra, Idaho Power, ENGIE, Copia Power), one trade association (Renewable Northwest), and one land use attorney testified before the Jerome County Planning and Zoning Commission. Zero organized community opposition testified. The industry delivered a unified message: trust us, the CUP process is adequate, remove the protections. The P&amp;Z voted unanimously to deny Chapters 10 and 11 (protective amendments) and approve Chapter 7 (weakening the permit framework from SUP to CUP).</w:t>
      </w:r>
    </w:p>
    <w:p w14:paraId="4B122F69" w14:textId="77777777" w:rsidR="00D11E5F" w:rsidRDefault="00000000">
      <w:pPr>
        <w:spacing w:after="120"/>
      </w:pPr>
      <w:r>
        <w:rPr>
          <w:sz w:val="21"/>
          <w:szCs w:val="21"/>
        </w:rPr>
        <w:t>This document analyzes every material claim made by industry speakers against the factual record—including peer-reviewed research, USDA data, federal agency publications, state legislation, documented fire incidents, and corporate ownership records. Each claim is rated as FALSE, MISLEADING, INCOMPLETE, UNSUPPORTED, or a combination. Sources are cited for every rebuttal.</w:t>
      </w:r>
    </w:p>
    <w:p w14:paraId="13B1BA98" w14:textId="77777777" w:rsidR="00D11E5F" w:rsidRDefault="00000000">
      <w:pPr>
        <w:spacing w:after="120"/>
      </w:pPr>
      <w:r>
        <w:rPr>
          <w:b/>
          <w:bCs/>
          <w:sz w:val="21"/>
          <w:szCs w:val="21"/>
        </w:rPr>
        <w:t xml:space="preserve">Key Findings: </w:t>
      </w:r>
      <w:r>
        <w:rPr>
          <w:sz w:val="21"/>
          <w:szCs w:val="21"/>
        </w:rPr>
        <w:t>Of 12 material industry claims analyzed, 7 are rated FALSE or contain false elements, 4 are rated MISLEADING or contain misleading elements, and all 12 are incomplete in material respects. No industry speaker disclosed the Moss Landing fire, NextEra’s own East Hampton fire, the McMicken explosion, the BlackRock ownership overlap between Idaho Power and NextEra, the battery chemistry that would actually be deployed, or the Jerome County fire department’s capacity to respond to a lithium-ion battery fire.</w:t>
      </w:r>
    </w:p>
    <w:p w14:paraId="24501ED4" w14:textId="77777777" w:rsidR="00D11E5F" w:rsidRDefault="00000000">
      <w:pPr>
        <w:pStyle w:val="Heading2"/>
      </w:pPr>
      <w:r>
        <w:t>Rating Legend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D11E5F" w14:paraId="02825C26"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30BB7B0A" w14:textId="77777777" w:rsidR="00D11E5F" w:rsidRDefault="00000000">
            <w:r>
              <w:rPr>
                <w:b/>
                <w:bCs/>
                <w:sz w:val="18"/>
                <w:szCs w:val="18"/>
              </w:rPr>
              <w:t>FALSE</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6C082D" w14:textId="77777777" w:rsidR="00D11E5F" w:rsidRDefault="00000000">
            <w:r>
              <w:rPr>
                <w:sz w:val="18"/>
                <w:szCs w:val="18"/>
              </w:rPr>
              <w:t>Directly contradicted by cited evidence, documented facts, or the speaker’s own company’s operational record.</w:t>
            </w:r>
          </w:p>
        </w:tc>
      </w:tr>
      <w:tr w:rsidR="00D11E5F" w14:paraId="0C0CA203"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5E15E150" w14:textId="77777777" w:rsidR="00D11E5F" w:rsidRDefault="00000000">
            <w:r>
              <w:rPr>
                <w:b/>
                <w:bCs/>
                <w:sz w:val="18"/>
                <w:szCs w:val="18"/>
              </w:rPr>
              <w:t>MISLEADING</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71AD29" w14:textId="77777777" w:rsidR="00D11E5F" w:rsidRDefault="00000000">
            <w:r>
              <w:rPr>
                <w:sz w:val="18"/>
                <w:szCs w:val="18"/>
              </w:rPr>
              <w:t>Technically partially true but omits critical context that would change the listener’s conclusion. Designed to create a false impression.</w:t>
            </w:r>
          </w:p>
        </w:tc>
      </w:tr>
      <w:tr w:rsidR="00D11E5F" w14:paraId="7E2FB0E3"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5BB015B2" w14:textId="77777777" w:rsidR="00D11E5F" w:rsidRDefault="00000000">
            <w:r>
              <w:rPr>
                <w:b/>
                <w:bCs/>
                <w:sz w:val="18"/>
                <w:szCs w:val="18"/>
              </w:rPr>
              <w:t>INCOMPLETE</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3D27E2" w14:textId="77777777" w:rsidR="00D11E5F" w:rsidRDefault="00000000">
            <w:r>
              <w:rPr>
                <w:sz w:val="18"/>
                <w:szCs w:val="18"/>
              </w:rPr>
              <w:t>Material facts known to the speaker or reasonably available were not disclosed. The omission shapes the conclusion.</w:t>
            </w:r>
          </w:p>
        </w:tc>
      </w:tr>
      <w:tr w:rsidR="00D11E5F" w14:paraId="73F06A99"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06A1DF9E" w14:textId="77777777" w:rsidR="00D11E5F" w:rsidRDefault="00000000">
            <w:r>
              <w:rPr>
                <w:b/>
                <w:bCs/>
                <w:sz w:val="18"/>
                <w:szCs w:val="18"/>
              </w:rPr>
              <w:t>UNSUPPORTED</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0C5A49" w14:textId="77777777" w:rsidR="00D11E5F" w:rsidRDefault="00000000">
            <w:r>
              <w:rPr>
                <w:sz w:val="18"/>
                <w:szCs w:val="18"/>
              </w:rPr>
              <w:t>No citation, methodology, or verifiable source provided. The claim is asserted without evidence.</w:t>
            </w:r>
          </w:p>
        </w:tc>
      </w:tr>
    </w:tbl>
    <w:p w14:paraId="693665BE" w14:textId="77777777" w:rsidR="00D11E5F" w:rsidRDefault="00000000">
      <w:pPr>
        <w:pStyle w:val="Heading2"/>
        <w:spacing w:before="400"/>
      </w:pPr>
      <w:r>
        <w:t>Why Jerome County’s Farmland Is Unique and Irreplaceable</w:t>
      </w:r>
    </w:p>
    <w:p w14:paraId="66EA1518" w14:textId="77777777" w:rsidR="00D11E5F" w:rsidRDefault="00000000">
      <w:pPr>
        <w:spacing w:after="100"/>
      </w:pPr>
      <w:r>
        <w:rPr>
          <w:sz w:val="21"/>
          <w:szCs w:val="21"/>
        </w:rPr>
        <w:t>Jerome County is not a county with idle or marginal land. It is among the most productive agricultural counties in the United States. The industry’s claims must be evaluated against this reality:</w:t>
      </w:r>
    </w:p>
    <w:p w14:paraId="3D382936" w14:textId="77777777" w:rsidR="00D11E5F" w:rsidRDefault="00000000">
      <w:pPr>
        <w:spacing w:after="80"/>
      </w:pPr>
      <w:r>
        <w:rPr>
          <w:b/>
          <w:bCs/>
          <w:sz w:val="21"/>
          <w:szCs w:val="21"/>
        </w:rPr>
        <w:t xml:space="preserve">$639.6 million </w:t>
      </w:r>
      <w:r>
        <w:rPr>
          <w:sz w:val="21"/>
          <w:szCs w:val="21"/>
        </w:rPr>
        <w:t>in annual agricultural market value — 4th in Idaho, 59th nationally (USDA Census of Agriculture)</w:t>
      </w:r>
    </w:p>
    <w:p w14:paraId="2E91E13F" w14:textId="77777777" w:rsidR="00D11E5F" w:rsidRDefault="00000000">
      <w:pPr>
        <w:spacing w:after="80"/>
      </w:pPr>
      <w:r>
        <w:rPr>
          <w:b/>
          <w:bCs/>
          <w:sz w:val="21"/>
          <w:szCs w:val="21"/>
        </w:rPr>
        <w:t xml:space="preserve">$274.3 million </w:t>
      </w:r>
      <w:r>
        <w:rPr>
          <w:sz w:val="21"/>
          <w:szCs w:val="21"/>
        </w:rPr>
        <w:t>in annual cow milk sales — 3rd in Idaho, 16th nationally, accounting for 11.8% of all Idaho milk sales</w:t>
      </w:r>
    </w:p>
    <w:p w14:paraId="2D7B058E" w14:textId="77777777" w:rsidR="00D11E5F" w:rsidRDefault="00000000">
      <w:pPr>
        <w:spacing w:after="80"/>
      </w:pPr>
      <w:r>
        <w:rPr>
          <w:b/>
          <w:bCs/>
          <w:sz w:val="21"/>
          <w:szCs w:val="21"/>
        </w:rPr>
        <w:t xml:space="preserve">157,000+ irrigated acres </w:t>
      </w:r>
      <w:r>
        <w:rPr>
          <w:sz w:val="21"/>
          <w:szCs w:val="21"/>
        </w:rPr>
        <w:t>of cropland, nearly all in active production supporting the Magic Valley dairy industry</w:t>
      </w:r>
    </w:p>
    <w:p w14:paraId="6390DFFE" w14:textId="77777777" w:rsidR="00D11E5F" w:rsidRDefault="00000000">
      <w:pPr>
        <w:spacing w:after="80"/>
      </w:pPr>
      <w:r>
        <w:rPr>
          <w:b/>
          <w:bCs/>
          <w:sz w:val="21"/>
          <w:szCs w:val="21"/>
        </w:rPr>
        <w:t xml:space="preserve">Class I and Class II soils </w:t>
      </w:r>
      <w:r>
        <w:rPr>
          <w:sz w:val="21"/>
          <w:szCs w:val="21"/>
        </w:rPr>
        <w:t>that took 10,000–15,000 years to form through natural processes and are irreplaceable on any human timescale</w:t>
      </w:r>
    </w:p>
    <w:p w14:paraId="47EDF115" w14:textId="77777777" w:rsidR="00D11E5F" w:rsidRDefault="00000000">
      <w:pPr>
        <w:spacing w:after="80"/>
      </w:pPr>
      <w:r>
        <w:rPr>
          <w:b/>
          <w:bCs/>
          <w:sz w:val="21"/>
          <w:szCs w:val="21"/>
        </w:rPr>
        <w:t xml:space="preserve">Eastern Snake Plain Aquifer </w:t>
      </w:r>
      <w:proofErr w:type="gramStart"/>
      <w:r>
        <w:rPr>
          <w:sz w:val="21"/>
          <w:szCs w:val="21"/>
        </w:rPr>
        <w:t>already</w:t>
      </w:r>
      <w:proofErr w:type="gramEnd"/>
      <w:r>
        <w:rPr>
          <w:sz w:val="21"/>
          <w:szCs w:val="21"/>
        </w:rPr>
        <w:t xml:space="preserve"> in deficit by 75,300 acre-feet (IDWR, 2025) with zero margin for new industrial water demand</w:t>
      </w:r>
    </w:p>
    <w:p w14:paraId="0E469C5B" w14:textId="77777777" w:rsidR="00D11E5F" w:rsidRDefault="00000000">
      <w:pPr>
        <w:spacing w:after="80"/>
      </w:pPr>
      <w:r>
        <w:rPr>
          <w:b/>
          <w:bCs/>
          <w:sz w:val="21"/>
          <w:szCs w:val="21"/>
        </w:rPr>
        <w:t xml:space="preserve">Community consensus: </w:t>
      </w:r>
      <w:r>
        <w:rPr>
          <w:sz w:val="21"/>
          <w:szCs w:val="21"/>
        </w:rPr>
        <w:t>93.8% rate agricultural preservation as important/extremely important; 93.7% oppose large-scale energy in ag zones (</w:t>
      </w:r>
      <w:proofErr w:type="spellStart"/>
      <w:r>
        <w:rPr>
          <w:sz w:val="21"/>
          <w:szCs w:val="21"/>
        </w:rPr>
        <w:t>JTown</w:t>
      </w:r>
      <w:proofErr w:type="spellEnd"/>
      <w:r>
        <w:rPr>
          <w:sz w:val="21"/>
          <w:szCs w:val="21"/>
        </w:rPr>
        <w:t xml:space="preserve"> Beacon Survey, March 2026)</w:t>
      </w:r>
    </w:p>
    <w:p w14:paraId="45E90DD9" w14:textId="77777777" w:rsidR="00D11E5F" w:rsidRDefault="00000000">
      <w:pPr>
        <w:spacing w:after="200"/>
      </w:pPr>
      <w:r>
        <w:rPr>
          <w:i/>
          <w:iCs/>
          <w:sz w:val="21"/>
          <w:szCs w:val="21"/>
        </w:rPr>
        <w:t xml:space="preserve">When industry speakers </w:t>
      </w:r>
      <w:proofErr w:type="gramStart"/>
      <w:r>
        <w:rPr>
          <w:i/>
          <w:iCs/>
          <w:sz w:val="21"/>
          <w:szCs w:val="21"/>
        </w:rPr>
        <w:t>say</w:t>
      </w:r>
      <w:proofErr w:type="gramEnd"/>
      <w:r>
        <w:rPr>
          <w:i/>
          <w:iCs/>
          <w:sz w:val="21"/>
          <w:szCs w:val="21"/>
        </w:rPr>
        <w:t xml:space="preserve"> “land returned” or “reversible loss,” they are asking Jerome County to gamble its $639 million agricultural economy, its nationally significant dairy industry, and 15,000 years of soil formation on a promise contradicted by every peer-reviewed study in the record.</w:t>
      </w:r>
    </w:p>
    <w:p w14:paraId="18C51FEA" w14:textId="77777777" w:rsidR="00D11E5F" w:rsidRDefault="00000000">
      <w:pPr>
        <w:pStyle w:val="Heading1"/>
      </w:pPr>
      <w:r>
        <w:lastRenderedPageBreak/>
        <w:t>Side-by-Side Rebuttal: Industry Claims vs. Factual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3"/>
        <w:gridCol w:w="2525"/>
        <w:gridCol w:w="2637"/>
        <w:gridCol w:w="1467"/>
        <w:gridCol w:w="2258"/>
      </w:tblGrid>
      <w:tr w:rsidR="00D11E5F" w14:paraId="7994A908" w14:textId="77777777">
        <w:tblPrEx>
          <w:tblCellMar>
            <w:top w:w="0" w:type="dxa"/>
            <w:bottom w:w="0" w:type="dxa"/>
          </w:tblCellMar>
        </w:tblPrEx>
        <w:trPr>
          <w:tblHeader/>
        </w:trPr>
        <w:tc>
          <w:tcPr>
            <w:tcW w:w="5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5D6624EE" w14:textId="77777777" w:rsidR="00D11E5F" w:rsidRDefault="00000000">
            <w:pPr>
              <w:jc w:val="center"/>
            </w:pPr>
            <w:r>
              <w:rPr>
                <w:b/>
                <w:bCs/>
                <w:color w:val="FFFFFF"/>
                <w:sz w:val="18"/>
                <w:szCs w:val="18"/>
              </w:rPr>
              <w:t>#</w:t>
            </w:r>
          </w:p>
        </w:tc>
        <w:tc>
          <w:tcPr>
            <w:tcW w:w="32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32A39EE5" w14:textId="77777777" w:rsidR="00D11E5F" w:rsidRDefault="00000000">
            <w:r>
              <w:rPr>
                <w:b/>
                <w:bCs/>
                <w:color w:val="FFFFFF"/>
                <w:sz w:val="18"/>
                <w:szCs w:val="18"/>
              </w:rPr>
              <w:t xml:space="preserve">Industry Claim (Jan. 26, </w:t>
            </w:r>
            <w:proofErr w:type="gramStart"/>
            <w:r>
              <w:rPr>
                <w:b/>
                <w:bCs/>
                <w:color w:val="FFFFFF"/>
                <w:sz w:val="18"/>
                <w:szCs w:val="18"/>
              </w:rPr>
              <w:t>2026</w:t>
            </w:r>
            <w:proofErr w:type="gramEnd"/>
            <w:r>
              <w:rPr>
                <w:b/>
                <w:bCs/>
                <w:color w:val="FFFFFF"/>
                <w:sz w:val="18"/>
                <w:szCs w:val="18"/>
              </w:rPr>
              <w:t xml:space="preserve"> P&amp;Z Hearing)</w:t>
            </w:r>
          </w:p>
        </w:tc>
        <w:tc>
          <w:tcPr>
            <w:tcW w:w="32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4A138843" w14:textId="77777777" w:rsidR="00D11E5F" w:rsidRDefault="00000000">
            <w:r>
              <w:rPr>
                <w:b/>
                <w:bCs/>
                <w:color w:val="FFFFFF"/>
                <w:sz w:val="18"/>
                <w:szCs w:val="18"/>
              </w:rPr>
              <w:t>Factual Rebuttal</w:t>
            </w:r>
          </w:p>
        </w:tc>
        <w:tc>
          <w:tcPr>
            <w:tcW w:w="12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6A5F60B5" w14:textId="77777777" w:rsidR="00D11E5F" w:rsidRDefault="00000000">
            <w:pPr>
              <w:jc w:val="center"/>
            </w:pPr>
            <w:r>
              <w:rPr>
                <w:b/>
                <w:bCs/>
                <w:color w:val="FFFFFF"/>
                <w:sz w:val="18"/>
                <w:szCs w:val="18"/>
              </w:rPr>
              <w:t>Rating</w:t>
            </w:r>
          </w:p>
        </w:tc>
        <w:tc>
          <w:tcPr>
            <w:tcW w:w="126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680DEEF2" w14:textId="77777777" w:rsidR="00D11E5F" w:rsidRDefault="00000000">
            <w:pPr>
              <w:jc w:val="center"/>
            </w:pPr>
            <w:r>
              <w:rPr>
                <w:b/>
                <w:bCs/>
                <w:color w:val="FFFFFF"/>
                <w:sz w:val="18"/>
                <w:szCs w:val="18"/>
              </w:rPr>
              <w:t>Sources</w:t>
            </w:r>
          </w:p>
        </w:tc>
      </w:tr>
      <w:tr w:rsidR="00D11E5F" w14:paraId="2CE3E340"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25800E" w14:textId="77777777" w:rsidR="00D11E5F" w:rsidRDefault="00000000">
            <w:pPr>
              <w:jc w:val="center"/>
            </w:pPr>
            <w:r>
              <w:rPr>
                <w:b/>
                <w:bCs/>
                <w:sz w:val="17"/>
                <w:szCs w:val="17"/>
              </w:rPr>
              <w:t>1</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AE8582" w14:textId="77777777" w:rsidR="00D11E5F" w:rsidRDefault="00000000">
            <w:pPr>
              <w:spacing w:after="60"/>
            </w:pPr>
            <w:r>
              <w:rPr>
                <w:b/>
                <w:bCs/>
                <w:sz w:val="17"/>
                <w:szCs w:val="17"/>
              </w:rPr>
              <w:t>Ufuoma Ojumah — NextEra Energy Resources</w:t>
            </w:r>
          </w:p>
          <w:p w14:paraId="46449FB2" w14:textId="77777777" w:rsidR="00D11E5F" w:rsidRDefault="00000000">
            <w:r>
              <w:rPr>
                <w:i/>
                <w:iCs/>
                <w:sz w:val="17"/>
                <w:szCs w:val="17"/>
              </w:rPr>
              <w:t>BESS should be allowed in all zones except rural residential via CUP. Systems last 20–30 years. Land returned. 2–3 permanent local jobs. CUP process gives county control.</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AF56D7" w14:textId="77777777" w:rsidR="00D11E5F" w:rsidRDefault="00000000">
            <w:pPr>
              <w:spacing w:after="60"/>
            </w:pPr>
            <w:r>
              <w:rPr>
                <w:sz w:val="17"/>
                <w:szCs w:val="17"/>
              </w:rPr>
              <w:t>FALSE: “Land returned” implies reversibility. USDA NRCS (Dec. 2024) documents six categories of soil damage from energy construction: compaction, erosion, organic matter loss, drainage alteration, water ponding, and pollutant introduction. The Welsh Government (2023) found soil recovery timescales of 18–30 years to permanent, with “residual compaction” likely at decommissioning. NC State (2021) documented 20–40% crop yield loss for 3–5 years post-decommission.</w:t>
            </w:r>
          </w:p>
          <w:p w14:paraId="4EA35484" w14:textId="77777777" w:rsidR="00D11E5F" w:rsidRDefault="00000000">
            <w:pPr>
              <w:spacing w:after="60"/>
            </w:pPr>
            <w:r>
              <w:rPr>
                <w:sz w:val="17"/>
                <w:szCs w:val="17"/>
              </w:rPr>
              <w:t>MISLEADING: “2–3 permanent jobs” is presented as an economic benefit. For a facility occupying 80–120 acres of prime irrigated farmland producing $639.6 million in county agricultural output, removing that acreage from the feed supply for a nationally significant dairy industry (#16 nationally, $274M annual milk sales) in exchange for 2–3 jobs is a net economic loss.</w:t>
            </w:r>
          </w:p>
          <w:p w14:paraId="6AEE20B2" w14:textId="77777777" w:rsidR="00D11E5F" w:rsidRDefault="00000000">
            <w:pPr>
              <w:spacing w:after="60"/>
            </w:pPr>
            <w:r>
              <w:rPr>
                <w:sz w:val="17"/>
                <w:szCs w:val="17"/>
              </w:rPr>
              <w:t>INCOMPLETE: “CUP gives county control” omits that a generic CUP without energy-specific standards contains no BESS-specific fire safety requirements, no mandated setbacks, no decommissioning bonds, no battery chemistry disclosure, no environmental impact assessment, and no emergency response funding. The “control” is illusory.</w:t>
            </w:r>
          </w:p>
          <w:p w14:paraId="4C693736" w14:textId="77777777" w:rsidR="00D11E5F" w:rsidRDefault="00000000">
            <w:pPr>
              <w:spacing w:after="60"/>
            </w:pPr>
            <w:r>
              <w:rPr>
                <w:sz w:val="17"/>
                <w:szCs w:val="17"/>
              </w:rPr>
              <w:t>UNIQUENESS OF FARMLAND: Jerome County’s 157,000 irrigated acres on Class I and Class II soils took 10,000–15,000 years to form. These soils support the 4th most productive agricultural county in Idaho and the 59th nationally. They are irreplaceable on any human timescale.</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7B77F7D8" w14:textId="77777777" w:rsidR="00D11E5F" w:rsidRDefault="00000000">
            <w:pPr>
              <w:jc w:val="center"/>
            </w:pPr>
            <w:r>
              <w:rPr>
                <w:b/>
                <w:bCs/>
                <w:sz w:val="16"/>
                <w:szCs w:val="16"/>
              </w:rPr>
              <w:t>FALSE / MISLEADING</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6C0285" w14:textId="77777777" w:rsidR="00D11E5F" w:rsidRDefault="00000000">
            <w:pPr>
              <w:spacing w:after="40"/>
            </w:pPr>
            <w:r>
              <w:rPr>
                <w:sz w:val="15"/>
                <w:szCs w:val="15"/>
              </w:rPr>
              <w:t>[1] USDA NRCS, Conservation Guidance for Utility-Scale Solar (Dec. 2024)</w:t>
            </w:r>
          </w:p>
          <w:p w14:paraId="7EA97544" w14:textId="77777777" w:rsidR="00D11E5F" w:rsidRDefault="00000000">
            <w:pPr>
              <w:spacing w:after="40"/>
            </w:pPr>
            <w:r>
              <w:rPr>
                <w:sz w:val="15"/>
                <w:szCs w:val="15"/>
              </w:rPr>
              <w:t>[4] NC State Univ. (2021)</w:t>
            </w:r>
          </w:p>
          <w:p w14:paraId="4604A072" w14:textId="77777777" w:rsidR="00D11E5F" w:rsidRDefault="00000000">
            <w:pPr>
              <w:spacing w:after="40"/>
            </w:pPr>
            <w:r>
              <w:rPr>
                <w:sz w:val="15"/>
                <w:szCs w:val="15"/>
              </w:rPr>
              <w:t>[5] Welsh Govt. (2023)</w:t>
            </w:r>
          </w:p>
          <w:p w14:paraId="3A8C213D" w14:textId="77777777" w:rsidR="00D11E5F" w:rsidRDefault="00000000">
            <w:pPr>
              <w:spacing w:after="40"/>
            </w:pPr>
            <w:r>
              <w:rPr>
                <w:sz w:val="15"/>
                <w:szCs w:val="15"/>
              </w:rPr>
              <w:t>[8] USDA Census of Ag — Jerome County</w:t>
            </w:r>
          </w:p>
        </w:tc>
      </w:tr>
      <w:tr w:rsidR="00D11E5F" w14:paraId="7C7EA94D"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91C9AB" w14:textId="77777777" w:rsidR="00D11E5F" w:rsidRDefault="00000000">
            <w:pPr>
              <w:jc w:val="center"/>
            </w:pPr>
            <w:r>
              <w:rPr>
                <w:b/>
                <w:bCs/>
                <w:sz w:val="17"/>
                <w:szCs w:val="17"/>
              </w:rPr>
              <w:t>2</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CF28089" w14:textId="77777777" w:rsidR="00D11E5F" w:rsidRDefault="00000000">
            <w:pPr>
              <w:spacing w:after="60"/>
            </w:pPr>
            <w:r>
              <w:rPr>
                <w:b/>
                <w:bCs/>
                <w:sz w:val="17"/>
                <w:szCs w:val="17"/>
              </w:rPr>
              <w:t>Jeffery Collins — NextEra Energy</w:t>
            </w:r>
          </w:p>
          <w:p w14:paraId="1E39D253" w14:textId="77777777" w:rsidR="00D11E5F" w:rsidRDefault="00000000">
            <w:r>
              <w:rPr>
                <w:i/>
                <w:iCs/>
                <w:sz w:val="17"/>
                <w:szCs w:val="17"/>
              </w:rPr>
              <w:t>BESS are enclosed, produce no waste, highest safety. Fires dropped 98%. Fire burns within its own container. Need to be near substations.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4689BA" w14:textId="77777777" w:rsidR="00D11E5F" w:rsidRDefault="00000000">
            <w:pPr>
              <w:spacing w:after="60"/>
            </w:pPr>
            <w:r>
              <w:rPr>
                <w:sz w:val="17"/>
                <w:szCs w:val="17"/>
              </w:rPr>
              <w:t xml:space="preserve">FALSE: “Fires dropped 98%” has no cited source and is contradicted by the record. The EPRI/DOE BESS failure database documents continued incidents through 2025. The January 2025 Moss Landing fire (world’s largest BESS) </w:t>
            </w:r>
            <w:r>
              <w:rPr>
                <w:sz w:val="17"/>
                <w:szCs w:val="17"/>
              </w:rPr>
              <w:lastRenderedPageBreak/>
              <w:t>deposited 55,000 pounds of toxic metals across wetlands, evacuated 1,500 residents, and reignited a month later. Cobalt and manganese exceeded child safety thresholds.</w:t>
            </w:r>
          </w:p>
          <w:p w14:paraId="4C1E7AAA" w14:textId="77777777" w:rsidR="00D11E5F" w:rsidRDefault="00000000">
            <w:pPr>
              <w:spacing w:after="60"/>
            </w:pPr>
            <w:r>
              <w:rPr>
                <w:sz w:val="17"/>
                <w:szCs w:val="17"/>
              </w:rPr>
              <w:t>FALSE: “Fire burns within its own container” is directly contradicted by NextEra’s own operational history. NextEra’s East Hampton BESS caught fire in May 2023, closed roads, halted trains, and took a year to rebuild. Collins testified about safety without disclosing his own company’s fire. The 2019 McMicken (AZ) explosion injured four firefighters with traumatic brain injuries, broken bones, and burns — the captain was thrown 70 feet.</w:t>
            </w:r>
          </w:p>
          <w:p w14:paraId="48549A48" w14:textId="77777777" w:rsidR="00D11E5F" w:rsidRDefault="00000000">
            <w:pPr>
              <w:spacing w:after="60"/>
            </w:pPr>
            <w:r>
              <w:rPr>
                <w:sz w:val="17"/>
                <w:szCs w:val="17"/>
              </w:rPr>
              <w:t>FALSE: “Produce no waste” ignores thermal runaway byproducts including hydrogen fluoride (HF) gas, which is lethal at concentrations above 30 ppm. Lithium-ion battery fires produce toxic off-gassing that requires specialized hazmat response.</w:t>
            </w:r>
          </w:p>
          <w:p w14:paraId="70AFA3C8" w14:textId="77777777" w:rsidR="00D11E5F" w:rsidRDefault="00000000">
            <w:pPr>
              <w:spacing w:after="60"/>
            </w:pPr>
            <w:r>
              <w:rPr>
                <w:sz w:val="17"/>
                <w:szCs w:val="17"/>
              </w:rPr>
              <w:t xml:space="preserve">MISLEADING: “Need to be near substations” conflates grid-conditioning BESS (5–25 MW, legitimately near substations) with energy arbitrage operations (200+ MW on 120 acres). A 200 MW facility is not </w:t>
            </w:r>
            <w:proofErr w:type="gramStart"/>
            <w:r>
              <w:rPr>
                <w:sz w:val="17"/>
                <w:szCs w:val="17"/>
              </w:rPr>
              <w:t>grid</w:t>
            </w:r>
            <w:proofErr w:type="gramEnd"/>
            <w:r>
              <w:rPr>
                <w:sz w:val="17"/>
                <w:szCs w:val="17"/>
              </w:rPr>
              <w:t xml:space="preserve"> infrastructure — it is an energy trading operation that happens to need grid access.</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1D2B1184" w14:textId="77777777" w:rsidR="00D11E5F" w:rsidRDefault="00000000">
            <w:pPr>
              <w:jc w:val="center"/>
            </w:pPr>
            <w:r>
              <w:rPr>
                <w:b/>
                <w:bCs/>
                <w:sz w:val="16"/>
                <w:szCs w:val="16"/>
              </w:rPr>
              <w:lastRenderedPageBreak/>
              <w:t>FALSE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4BB120" w14:textId="77777777" w:rsidR="00D11E5F" w:rsidRDefault="00000000">
            <w:pPr>
              <w:spacing w:after="40"/>
            </w:pPr>
            <w:r>
              <w:rPr>
                <w:sz w:val="15"/>
                <w:szCs w:val="15"/>
              </w:rPr>
              <w:t>[S1] Moss Landing Fire, Jan. 2025</w:t>
            </w:r>
          </w:p>
          <w:p w14:paraId="2AD6C6A2" w14:textId="77777777" w:rsidR="00D11E5F" w:rsidRDefault="00000000">
            <w:pPr>
              <w:spacing w:after="40"/>
            </w:pPr>
            <w:r>
              <w:rPr>
                <w:sz w:val="15"/>
                <w:szCs w:val="15"/>
              </w:rPr>
              <w:t>[S2] NextEra East Hampton Fire, May 2023</w:t>
            </w:r>
          </w:p>
          <w:p w14:paraId="0C8EFC90" w14:textId="77777777" w:rsidR="00D11E5F" w:rsidRDefault="00000000">
            <w:pPr>
              <w:spacing w:after="40"/>
            </w:pPr>
            <w:r>
              <w:rPr>
                <w:sz w:val="15"/>
                <w:szCs w:val="15"/>
              </w:rPr>
              <w:t>[S3] McMicken Explosion, AZ 2019</w:t>
            </w:r>
          </w:p>
          <w:p w14:paraId="647BCD45" w14:textId="77777777" w:rsidR="00D11E5F" w:rsidRDefault="00000000">
            <w:pPr>
              <w:spacing w:after="40"/>
            </w:pPr>
            <w:r>
              <w:rPr>
                <w:sz w:val="15"/>
                <w:szCs w:val="15"/>
              </w:rPr>
              <w:t>[S4] EPRI/DOE BESS Failure Database</w:t>
            </w:r>
          </w:p>
        </w:tc>
      </w:tr>
      <w:tr w:rsidR="00D11E5F" w14:paraId="79A5B5D3"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31FBFD" w14:textId="77777777" w:rsidR="00D11E5F" w:rsidRDefault="00000000">
            <w:pPr>
              <w:jc w:val="center"/>
            </w:pPr>
            <w:r>
              <w:rPr>
                <w:b/>
                <w:bCs/>
                <w:sz w:val="17"/>
                <w:szCs w:val="17"/>
              </w:rPr>
              <w:t>3</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29CED0D" w14:textId="77777777" w:rsidR="00D11E5F" w:rsidRDefault="00000000">
            <w:pPr>
              <w:spacing w:after="60"/>
            </w:pPr>
            <w:r>
              <w:rPr>
                <w:b/>
                <w:bCs/>
                <w:sz w:val="17"/>
                <w:szCs w:val="17"/>
              </w:rPr>
              <w:t>Leon Letson — Idaho Power</w:t>
            </w:r>
          </w:p>
          <w:p w14:paraId="093F0B41" w14:textId="77777777" w:rsidR="00D11E5F" w:rsidRDefault="00000000">
            <w:r>
              <w:rPr>
                <w:i/>
                <w:iCs/>
                <w:sz w:val="17"/>
                <w:szCs w:val="17"/>
              </w:rPr>
              <w:t>Supports CUP process. Farmers may initiate projects. Proposed language is heavy-handed and limits property rights. Concerned about restrictions on existing facilities.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9F7615" w14:textId="77777777" w:rsidR="00D11E5F" w:rsidRDefault="00000000">
            <w:pPr>
              <w:spacing w:after="60"/>
            </w:pPr>
            <w:r>
              <w:rPr>
                <w:sz w:val="17"/>
                <w:szCs w:val="17"/>
              </w:rPr>
              <w:t>MISLEADING: “Limits property rights” mischaracterizes the legal framework. Under Village of Euclid v. Ambler Realty (1926), Penn Central v. NYC (1978), and Idaho’s LLUPA, the police power to regulate land use for public welfare is firmly established. A property owner does not have a constitutional right to the highest and best use of their land — only to reasonable economic use. Denying a 400 MW solar installation on agricultural land does not “take” the land; it declines to permit a particular use.</w:t>
            </w:r>
          </w:p>
          <w:p w14:paraId="4A81E9AE" w14:textId="77777777" w:rsidR="00D11E5F" w:rsidRDefault="00000000">
            <w:pPr>
              <w:spacing w:after="60"/>
            </w:pPr>
            <w:r>
              <w:rPr>
                <w:sz w:val="17"/>
                <w:szCs w:val="17"/>
              </w:rPr>
              <w:t>INCOMPLETE: Letson did not disclose that BlackRock owns approximately 12% of IDACORP/Idaho Power and 5–</w:t>
            </w:r>
            <w:r>
              <w:rPr>
                <w:sz w:val="17"/>
                <w:szCs w:val="17"/>
              </w:rPr>
              <w:lastRenderedPageBreak/>
              <w:t>7% of NextEra Energy. The same institutional shareholders sit on both sides of any BESS power purchase agreement. This ownership overlap represents an undisclosed conflict of interest in Letson’s testimony opposing regulations that would affect NextEra’s ability to site projects.</w:t>
            </w:r>
          </w:p>
          <w:p w14:paraId="74EEA12F" w14:textId="77777777" w:rsidR="00D11E5F" w:rsidRDefault="00000000">
            <w:pPr>
              <w:spacing w:after="60"/>
            </w:pPr>
            <w:r>
              <w:rPr>
                <w:sz w:val="17"/>
                <w:szCs w:val="17"/>
              </w:rPr>
              <w:t>FALSE: “Heavy-handed” characterization is contradicted by national precedent. Cecil County, MD and Montgomery County, MD have adopted categorical prohibitions on energy facilities on Class I/II soils. Bannock County, ID enacted a complete ban on utility-scale solar and wind. Idaho SB 1133 (2025) prohibits solar/wind on APA lands. HCR032 (2026) declares energy infrastructure harming agriculture is “inconsistent with state policy.” The proposed standards are the national norm, not an outlier.</w:t>
            </w:r>
          </w:p>
        </w:tc>
        <w:tc>
          <w:tcPr>
            <w:tcW w:w="12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01AA7446" w14:textId="77777777" w:rsidR="00D11E5F" w:rsidRDefault="00000000">
            <w:pPr>
              <w:jc w:val="center"/>
            </w:pPr>
            <w:r>
              <w:rPr>
                <w:b/>
                <w:bCs/>
                <w:sz w:val="16"/>
                <w:szCs w:val="16"/>
              </w:rPr>
              <w:lastRenderedPageBreak/>
              <w:t>MISLEADING / INCOMPLETE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3B6000" w14:textId="77777777" w:rsidR="00D11E5F" w:rsidRDefault="00000000">
            <w:pPr>
              <w:spacing w:after="40"/>
            </w:pPr>
            <w:r>
              <w:rPr>
                <w:sz w:val="15"/>
                <w:szCs w:val="15"/>
              </w:rPr>
              <w:t>[6] Euclid v. Ambler (1926)</w:t>
            </w:r>
          </w:p>
          <w:p w14:paraId="17DE86D1" w14:textId="77777777" w:rsidR="00D11E5F" w:rsidRDefault="00000000">
            <w:pPr>
              <w:spacing w:after="40"/>
            </w:pPr>
            <w:r>
              <w:rPr>
                <w:sz w:val="15"/>
                <w:szCs w:val="15"/>
              </w:rPr>
              <w:t>[7] Penn Central (1978)</w:t>
            </w:r>
          </w:p>
          <w:p w14:paraId="4EE6CDD9" w14:textId="77777777" w:rsidR="00D11E5F" w:rsidRDefault="00000000">
            <w:pPr>
              <w:spacing w:after="40"/>
            </w:pPr>
            <w:r>
              <w:rPr>
                <w:sz w:val="15"/>
                <w:szCs w:val="15"/>
              </w:rPr>
              <w:t>[12] SB 1133 (2025)</w:t>
            </w:r>
          </w:p>
          <w:p w14:paraId="0773CC74" w14:textId="77777777" w:rsidR="00D11E5F" w:rsidRDefault="00000000">
            <w:pPr>
              <w:spacing w:after="40"/>
            </w:pPr>
            <w:r>
              <w:rPr>
                <w:sz w:val="15"/>
                <w:szCs w:val="15"/>
              </w:rPr>
              <w:t>[13] HCR032 (2026)</w:t>
            </w:r>
          </w:p>
          <w:p w14:paraId="00773E82" w14:textId="77777777" w:rsidR="00D11E5F" w:rsidRDefault="00000000">
            <w:pPr>
              <w:spacing w:after="40"/>
            </w:pPr>
            <w:r>
              <w:rPr>
                <w:sz w:val="15"/>
                <w:szCs w:val="15"/>
              </w:rPr>
              <w:t>[S5] BlackRock ownership data, SEC filings</w:t>
            </w:r>
          </w:p>
        </w:tc>
      </w:tr>
      <w:tr w:rsidR="00D11E5F" w14:paraId="26849008"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3D4D1F" w14:textId="77777777" w:rsidR="00D11E5F" w:rsidRDefault="00000000">
            <w:pPr>
              <w:jc w:val="center"/>
            </w:pPr>
            <w:r>
              <w:rPr>
                <w:b/>
                <w:bCs/>
                <w:sz w:val="17"/>
                <w:szCs w:val="17"/>
              </w:rPr>
              <w:t>4</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BC4922C" w14:textId="77777777" w:rsidR="00D11E5F" w:rsidRDefault="00000000">
            <w:pPr>
              <w:spacing w:after="60"/>
            </w:pPr>
            <w:r>
              <w:rPr>
                <w:b/>
                <w:bCs/>
                <w:sz w:val="17"/>
                <w:szCs w:val="17"/>
              </w:rPr>
              <w:t>Aaron Menenberg — Renewable Northwest</w:t>
            </w:r>
          </w:p>
          <w:p w14:paraId="3F28A21D" w14:textId="77777777" w:rsidR="00D11E5F" w:rsidRDefault="00000000">
            <w:r>
              <w:rPr>
                <w:i/>
                <w:iCs/>
                <w:sz w:val="17"/>
                <w:szCs w:val="17"/>
              </w:rPr>
              <w:t xml:space="preserve">Each year of demand growth = $84–160M economic activity. Jerome County </w:t>
            </w:r>
            <w:proofErr w:type="gramStart"/>
            <w:r>
              <w:rPr>
                <w:i/>
                <w:iCs/>
                <w:sz w:val="17"/>
                <w:szCs w:val="17"/>
              </w:rPr>
              <w:t>important</w:t>
            </w:r>
            <w:proofErr w:type="gramEnd"/>
            <w:r>
              <w:rPr>
                <w:i/>
                <w:iCs/>
                <w:sz w:val="17"/>
                <w:szCs w:val="17"/>
              </w:rPr>
              <w:t xml:space="preserve"> due to Midpoint substation and Idaho Power territory.</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DFFD64" w14:textId="77777777" w:rsidR="00D11E5F" w:rsidRDefault="00000000">
            <w:pPr>
              <w:spacing w:after="60"/>
            </w:pPr>
            <w:r>
              <w:rPr>
                <w:sz w:val="17"/>
                <w:szCs w:val="17"/>
              </w:rPr>
              <w:t>UNSUPPORTED: The “$84–160M economic activity” figure is presented without citation, methodology, or definition. It does not specify: activity for whom (developers? the county? Idaho?), whether it nets out costs to the community (utility rate increases, property value declines, agricultural losses), or over what time period.</w:t>
            </w:r>
          </w:p>
          <w:p w14:paraId="7008AA69" w14:textId="77777777" w:rsidR="00D11E5F" w:rsidRDefault="00000000">
            <w:pPr>
              <w:spacing w:after="60"/>
            </w:pPr>
            <w:r>
              <w:rPr>
                <w:sz w:val="17"/>
                <w:szCs w:val="17"/>
              </w:rPr>
              <w:t>MISLEADING: Framing Jerome County as “important” due to the Midpoint substation reveals that the county is valued for its grid infrastructure, not because development benefits the community. The benefits flow to out-of-state energy companies; the costs (farmland conversion, rate increases, property value declines) remain local.</w:t>
            </w:r>
          </w:p>
          <w:p w14:paraId="177E6A1E" w14:textId="77777777" w:rsidR="00D11E5F" w:rsidRDefault="00000000">
            <w:pPr>
              <w:spacing w:after="60"/>
            </w:pPr>
            <w:r>
              <w:rPr>
                <w:sz w:val="17"/>
                <w:szCs w:val="17"/>
              </w:rPr>
              <w:t xml:space="preserve">CONTEXT: Goldman Sachs (Feb. 2026) documented that middle-class Americans are paying for the energy/data center boom through higher electric bills. Utilities requested a record $31 billion in rate increases in 2025 (double 2024). Jerome County’s rural households spend proportionally more on energy. The “economic activity” </w:t>
            </w:r>
            <w:proofErr w:type="spellStart"/>
            <w:r>
              <w:rPr>
                <w:sz w:val="17"/>
                <w:szCs w:val="17"/>
              </w:rPr>
              <w:t>Menenberg</w:t>
            </w:r>
            <w:proofErr w:type="spellEnd"/>
            <w:r>
              <w:rPr>
                <w:sz w:val="17"/>
                <w:szCs w:val="17"/>
              </w:rPr>
              <w:t xml:space="preserve"> cites may well be </w:t>
            </w:r>
            <w:r>
              <w:rPr>
                <w:sz w:val="17"/>
                <w:szCs w:val="17"/>
              </w:rPr>
              <w:lastRenderedPageBreak/>
              <w:t>the activity of extracting value from the community.</w:t>
            </w:r>
          </w:p>
        </w:tc>
        <w:tc>
          <w:tcPr>
            <w:tcW w:w="12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67B9D0FF" w14:textId="77777777" w:rsidR="00D11E5F" w:rsidRDefault="00000000">
            <w:pPr>
              <w:jc w:val="center"/>
            </w:pPr>
            <w:r>
              <w:rPr>
                <w:b/>
                <w:bCs/>
                <w:sz w:val="16"/>
                <w:szCs w:val="16"/>
              </w:rPr>
              <w:lastRenderedPageBreak/>
              <w:t>UNSUPPORTED / MISLEADING</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93A725" w14:textId="77777777" w:rsidR="00D11E5F" w:rsidRDefault="00000000">
            <w:pPr>
              <w:spacing w:after="40"/>
            </w:pPr>
            <w:r>
              <w:rPr>
                <w:sz w:val="15"/>
                <w:szCs w:val="15"/>
              </w:rPr>
              <w:t>[S6] Goldman Sachs, Feb. 2026</w:t>
            </w:r>
          </w:p>
          <w:p w14:paraId="61800E7B" w14:textId="77777777" w:rsidR="00D11E5F" w:rsidRDefault="00000000">
            <w:pPr>
              <w:spacing w:after="40"/>
            </w:pPr>
            <w:r>
              <w:rPr>
                <w:sz w:val="15"/>
                <w:szCs w:val="15"/>
              </w:rPr>
              <w:t>[S7] S&amp;P Global Market Intelligence, 2025</w:t>
            </w:r>
          </w:p>
          <w:p w14:paraId="08B86EF0" w14:textId="77777777" w:rsidR="00D11E5F" w:rsidRDefault="00000000">
            <w:pPr>
              <w:spacing w:after="40"/>
            </w:pPr>
            <w:r>
              <w:rPr>
                <w:sz w:val="15"/>
                <w:szCs w:val="15"/>
              </w:rPr>
              <w:t>[S8] PJM 2025–26 Auction Results</w:t>
            </w:r>
          </w:p>
        </w:tc>
      </w:tr>
      <w:tr w:rsidR="00D11E5F" w14:paraId="1F90C25B"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964824" w14:textId="77777777" w:rsidR="00D11E5F" w:rsidRDefault="00000000">
            <w:pPr>
              <w:jc w:val="center"/>
            </w:pPr>
            <w:r>
              <w:rPr>
                <w:b/>
                <w:bCs/>
                <w:sz w:val="17"/>
                <w:szCs w:val="17"/>
              </w:rPr>
              <w:t>5</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E5A60A0" w14:textId="77777777" w:rsidR="00D11E5F" w:rsidRDefault="00000000">
            <w:pPr>
              <w:spacing w:after="60"/>
            </w:pPr>
            <w:r>
              <w:rPr>
                <w:b/>
                <w:bCs/>
                <w:sz w:val="17"/>
                <w:szCs w:val="17"/>
              </w:rPr>
              <w:t>Elisabeth Koeckeritz — Land Use Attorney</w:t>
            </w:r>
          </w:p>
          <w:p w14:paraId="3C39A1E8" w14:textId="77777777" w:rsidR="00D11E5F" w:rsidRDefault="00000000">
            <w:r>
              <w:rPr>
                <w:i/>
                <w:iCs/>
                <w:sz w:val="17"/>
                <w:szCs w:val="17"/>
              </w:rPr>
              <w:t>Agricultural Protection Act ties up land for 20 years. Remove ‘irreversible loss’ language. Opposes rezone requirement — adds layers and uncertainty. Wants another work session.</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051B93" w14:textId="77777777" w:rsidR="00D11E5F" w:rsidRDefault="00000000">
            <w:pPr>
              <w:spacing w:after="60"/>
            </w:pPr>
            <w:r>
              <w:rPr>
                <w:sz w:val="17"/>
                <w:szCs w:val="17"/>
              </w:rPr>
              <w:t>FALSE: The term “irreversible conversion” is not a local invention — it is the language of the federal Farmland Protection Policy Act (FPPA, 7 U.S.C. §4201), which uses “irreversible conversion” to describe permanent loss of farmland to non-agricultural use. Removing this language would weaken the county’s legal position, not strengthen it.</w:t>
            </w:r>
          </w:p>
          <w:p w14:paraId="00FF8529" w14:textId="77777777" w:rsidR="00D11E5F" w:rsidRDefault="00000000">
            <w:pPr>
              <w:spacing w:after="60"/>
            </w:pPr>
            <w:r>
              <w:rPr>
                <w:sz w:val="17"/>
                <w:szCs w:val="17"/>
              </w:rPr>
              <w:t>MISLEADING: The “layers and uncertainty” argument frames regulatory protections as burdens on developers rather than protections for the community. Every zoning restriction adds “layers.” Agricultural zoning already prohibits factories, commercial retail, and high-density housing on farmland. The same principle applies to industrial energy facilities.</w:t>
            </w:r>
          </w:p>
          <w:p w14:paraId="65A4368E" w14:textId="77777777" w:rsidR="00D11E5F" w:rsidRDefault="00000000">
            <w:pPr>
              <w:spacing w:after="60"/>
            </w:pPr>
            <w:r>
              <w:rPr>
                <w:sz w:val="17"/>
                <w:szCs w:val="17"/>
              </w:rPr>
              <w:t xml:space="preserve">INCOMPLETE: </w:t>
            </w:r>
            <w:proofErr w:type="spellStart"/>
            <w:r>
              <w:rPr>
                <w:sz w:val="17"/>
                <w:szCs w:val="17"/>
              </w:rPr>
              <w:t>Koeckeritz’s</w:t>
            </w:r>
            <w:proofErr w:type="spellEnd"/>
            <w:r>
              <w:rPr>
                <w:sz w:val="17"/>
                <w:szCs w:val="17"/>
              </w:rPr>
              <w:t xml:space="preserve"> request for “another work session” is a delay tactic documented in the strategic assessment. Each delay creates opportunity for developers to file CUP applications under the weakened framework. Under Idaho law, applications are generally evaluated under standards in effect at the time of filing. Delay benefits the industry.</w:t>
            </w:r>
          </w:p>
          <w:p w14:paraId="67CDDC6C" w14:textId="77777777" w:rsidR="00D11E5F" w:rsidRDefault="00000000">
            <w:pPr>
              <w:spacing w:after="60"/>
            </w:pPr>
            <w:r>
              <w:rPr>
                <w:sz w:val="17"/>
                <w:szCs w:val="17"/>
              </w:rPr>
              <w:t>FALSE: “Ties up land for 20 years” mischaracterizes the APA. Enrollment is voluntary and reflects the landowner’s choice to protect agricultural use. Idaho SB 1133 (2025) strengthened these protections, reflecting legislative judgment that agricultural land warrants long-term protection.</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5F8E03AF" w14:textId="77777777" w:rsidR="00D11E5F" w:rsidRDefault="00000000">
            <w:pPr>
              <w:jc w:val="center"/>
            </w:pPr>
            <w:r>
              <w:rPr>
                <w:b/>
                <w:bCs/>
                <w:sz w:val="16"/>
                <w:szCs w:val="16"/>
              </w:rPr>
              <w:t>FALSE / MISLEADING</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30325B" w14:textId="77777777" w:rsidR="00D11E5F" w:rsidRDefault="00000000">
            <w:pPr>
              <w:spacing w:after="40"/>
            </w:pPr>
            <w:r>
              <w:rPr>
                <w:sz w:val="15"/>
                <w:szCs w:val="15"/>
              </w:rPr>
              <w:t>[14] FPPA, 7 U.S.C. §4201</w:t>
            </w:r>
          </w:p>
          <w:p w14:paraId="6208A878" w14:textId="77777777" w:rsidR="00D11E5F" w:rsidRDefault="00000000">
            <w:pPr>
              <w:spacing w:after="40"/>
            </w:pPr>
            <w:r>
              <w:rPr>
                <w:sz w:val="15"/>
                <w:szCs w:val="15"/>
              </w:rPr>
              <w:t>[12] Idaho SB 1133 (2025)</w:t>
            </w:r>
          </w:p>
          <w:p w14:paraId="0133F484" w14:textId="77777777" w:rsidR="00D11E5F" w:rsidRDefault="00000000">
            <w:pPr>
              <w:spacing w:after="40"/>
            </w:pPr>
            <w:r>
              <w:rPr>
                <w:sz w:val="15"/>
                <w:szCs w:val="15"/>
              </w:rPr>
              <w:t>[13] HCR032 (2026)</w:t>
            </w:r>
          </w:p>
          <w:p w14:paraId="4138152A" w14:textId="77777777" w:rsidR="00D11E5F" w:rsidRDefault="00000000">
            <w:pPr>
              <w:spacing w:after="40"/>
            </w:pPr>
            <w:r>
              <w:rPr>
                <w:sz w:val="15"/>
                <w:szCs w:val="15"/>
              </w:rPr>
              <w:t>[6] Euclid v. Ambler (1926)</w:t>
            </w:r>
          </w:p>
        </w:tc>
      </w:tr>
      <w:tr w:rsidR="00D11E5F" w14:paraId="07EBD2F3"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7CD0B0" w14:textId="77777777" w:rsidR="00D11E5F" w:rsidRDefault="00000000">
            <w:pPr>
              <w:jc w:val="center"/>
            </w:pPr>
            <w:r>
              <w:rPr>
                <w:b/>
                <w:bCs/>
                <w:sz w:val="17"/>
                <w:szCs w:val="17"/>
              </w:rPr>
              <w:t>6</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25EA92F" w14:textId="77777777" w:rsidR="00D11E5F" w:rsidRDefault="00000000">
            <w:pPr>
              <w:spacing w:after="60"/>
            </w:pPr>
            <w:r>
              <w:rPr>
                <w:b/>
                <w:bCs/>
                <w:sz w:val="17"/>
                <w:szCs w:val="17"/>
              </w:rPr>
              <w:t>Megan Cranford — ENGIE North America</w:t>
            </w:r>
          </w:p>
          <w:p w14:paraId="448D4139" w14:textId="77777777" w:rsidR="00D11E5F" w:rsidRDefault="00000000">
            <w:proofErr w:type="gramStart"/>
            <w:r>
              <w:rPr>
                <w:i/>
                <w:iCs/>
                <w:sz w:val="17"/>
                <w:szCs w:val="17"/>
              </w:rPr>
              <w:t>Restricting to</w:t>
            </w:r>
            <w:proofErr w:type="gramEnd"/>
            <w:r>
              <w:rPr>
                <w:i/>
                <w:iCs/>
                <w:sz w:val="17"/>
                <w:szCs w:val="17"/>
              </w:rPr>
              <w:t xml:space="preserve"> heavy industrial is a ‘de facto ban’ and departure from the Comprehensive Plan philosophy.</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0BF6AE" w14:textId="77777777" w:rsidR="00D11E5F" w:rsidRDefault="00000000">
            <w:pPr>
              <w:spacing w:after="60"/>
            </w:pPr>
            <w:r>
              <w:rPr>
                <w:sz w:val="17"/>
                <w:szCs w:val="17"/>
              </w:rPr>
              <w:t xml:space="preserve">FALSE: Restricting large-scale BESS to heavy industrial zones is not a “de facto ban.” It is a </w:t>
            </w:r>
            <w:proofErr w:type="gramStart"/>
            <w:r>
              <w:rPr>
                <w:sz w:val="17"/>
                <w:szCs w:val="17"/>
              </w:rPr>
              <w:t>siting</w:t>
            </w:r>
            <w:proofErr w:type="gramEnd"/>
            <w:r>
              <w:rPr>
                <w:sz w:val="17"/>
                <w:szCs w:val="17"/>
              </w:rPr>
              <w:t xml:space="preserve"> requirement consistent with the industrial nature of these facilities. A 200 MW BESS on 120 acres with lithium-ion batteries producing hydrogen fluoride gas during thermal runaway is an industrial facility by any definition. Placing industrial facilities in </w:t>
            </w:r>
            <w:r>
              <w:rPr>
                <w:sz w:val="17"/>
                <w:szCs w:val="17"/>
              </w:rPr>
              <w:lastRenderedPageBreak/>
              <w:t>industrial zones is the foundational principle of zoning (Euclid v. Ambler, 1926).</w:t>
            </w:r>
          </w:p>
          <w:p w14:paraId="38035C49" w14:textId="77777777" w:rsidR="00D11E5F" w:rsidRDefault="00000000">
            <w:pPr>
              <w:spacing w:after="60"/>
            </w:pPr>
            <w:r>
              <w:rPr>
                <w:sz w:val="17"/>
                <w:szCs w:val="17"/>
              </w:rPr>
              <w:t>FALSE: It is not a “departure from the Comprehensive Plan.” The Jerome County Comprehensive Plan identifies agriculture as the county’s most valuable resource. Protecting agricultural land from industrial conversion is consistent with, not contrary to, the Plan’s stated goals. The P&amp;Z’s own denial of the Chapter 10 amendment (which would have reinforced agricultural protection) is the actual departure from the Plan’s philosophy.</w:t>
            </w:r>
          </w:p>
          <w:p w14:paraId="73F825B9" w14:textId="77777777" w:rsidR="00D11E5F" w:rsidRDefault="00000000">
            <w:pPr>
              <w:spacing w:after="60"/>
            </w:pPr>
            <w:r>
              <w:rPr>
                <w:sz w:val="17"/>
                <w:szCs w:val="17"/>
              </w:rPr>
              <w:t>CONTEXT: ENGIE is a multinational energy corporation (headquarters: Paris, France) with $86B+ in annual revenue. The “de facto ban” framing is an industry talking point designed to characterize any meaningful regulation as prohibition. Bannock County, ID enacted an actual ban. This proposal allows BESS — in the appropriate zone.</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11CC15CF" w14:textId="77777777" w:rsidR="00D11E5F" w:rsidRDefault="00000000">
            <w:pPr>
              <w:jc w:val="center"/>
            </w:pPr>
            <w:r>
              <w:rPr>
                <w:b/>
                <w:bCs/>
                <w:sz w:val="16"/>
                <w:szCs w:val="16"/>
              </w:rPr>
              <w:lastRenderedPageBreak/>
              <w:t>FALSE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6D5361" w14:textId="77777777" w:rsidR="00D11E5F" w:rsidRDefault="00000000">
            <w:pPr>
              <w:spacing w:after="40"/>
            </w:pPr>
            <w:r>
              <w:rPr>
                <w:sz w:val="15"/>
                <w:szCs w:val="15"/>
              </w:rPr>
              <w:t>[6] Euclid v. Ambler (1926)</w:t>
            </w:r>
          </w:p>
          <w:p w14:paraId="46249E62" w14:textId="77777777" w:rsidR="00D11E5F" w:rsidRDefault="00000000">
            <w:pPr>
              <w:spacing w:after="40"/>
            </w:pPr>
            <w:r>
              <w:rPr>
                <w:sz w:val="15"/>
                <w:szCs w:val="15"/>
              </w:rPr>
              <w:t>[8] USDA Census of Ag</w:t>
            </w:r>
          </w:p>
          <w:p w14:paraId="05DCEFE5" w14:textId="77777777" w:rsidR="00D11E5F" w:rsidRDefault="00000000">
            <w:pPr>
              <w:spacing w:after="40"/>
            </w:pPr>
            <w:r>
              <w:rPr>
                <w:sz w:val="15"/>
                <w:szCs w:val="15"/>
              </w:rPr>
              <w:t>Jerome County Comprehensive Plan</w:t>
            </w:r>
          </w:p>
        </w:tc>
      </w:tr>
      <w:tr w:rsidR="00D11E5F" w14:paraId="55269609"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0874F0" w14:textId="77777777" w:rsidR="00D11E5F" w:rsidRDefault="00000000">
            <w:pPr>
              <w:jc w:val="center"/>
            </w:pPr>
            <w:r>
              <w:rPr>
                <w:b/>
                <w:bCs/>
                <w:sz w:val="17"/>
                <w:szCs w:val="17"/>
              </w:rPr>
              <w:t>7</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87B1206" w14:textId="77777777" w:rsidR="00D11E5F" w:rsidRDefault="00000000">
            <w:pPr>
              <w:spacing w:after="60"/>
            </w:pPr>
            <w:r>
              <w:rPr>
                <w:b/>
                <w:bCs/>
                <w:sz w:val="17"/>
                <w:szCs w:val="17"/>
              </w:rPr>
              <w:t>Emily Skill — Copia Power</w:t>
            </w:r>
          </w:p>
          <w:p w14:paraId="346F4D51" w14:textId="77777777" w:rsidR="00D11E5F" w:rsidRDefault="00000000">
            <w:r>
              <w:rPr>
                <w:i/>
                <w:iCs/>
                <w:sz w:val="17"/>
                <w:szCs w:val="17"/>
              </w:rPr>
              <w:t>Add agriculture zoning to the draft. Building on lava fields is ‘very challenging.’ Wants the good farmland.</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F5EDCD" w14:textId="77777777" w:rsidR="00D11E5F" w:rsidRDefault="00000000">
            <w:pPr>
              <w:spacing w:after="60"/>
            </w:pPr>
            <w:r>
              <w:rPr>
                <w:sz w:val="17"/>
                <w:szCs w:val="17"/>
              </w:rPr>
              <w:t xml:space="preserve">REVEALING ADMISSION: This is the most transparent statement from the hearing. Skill explicitly acknowledged that the industry wants the “good farmland” — not because lava fields are impossible to develop, but because prime irrigated agricultural land is cheaper and easier. This confirms the industry’s economic motivation: externalize costs onto the agricultural community rather than bear the cost of appropriate </w:t>
            </w:r>
            <w:proofErr w:type="gramStart"/>
            <w:r>
              <w:rPr>
                <w:sz w:val="17"/>
                <w:szCs w:val="17"/>
              </w:rPr>
              <w:t>siting</w:t>
            </w:r>
            <w:proofErr w:type="gramEnd"/>
            <w:r>
              <w:rPr>
                <w:sz w:val="17"/>
                <w:szCs w:val="17"/>
              </w:rPr>
              <w:t>.</w:t>
            </w:r>
          </w:p>
          <w:p w14:paraId="71B08EFC" w14:textId="77777777" w:rsidR="00D11E5F" w:rsidRDefault="00000000">
            <w:pPr>
              <w:spacing w:after="60"/>
            </w:pPr>
            <w:r>
              <w:rPr>
                <w:sz w:val="17"/>
                <w:szCs w:val="17"/>
              </w:rPr>
              <w:t>FALSE: “Very challenging” is not “impossible.” The EPA’s RE-Powering America’s Land Initiative has pre-screened 190,000 acres of brownfields, Superfund sites, landfills, and mine sites for renewable energy. 624+ brightfield projects operate on already-disturbed land nationally. The IRA provides a 10% tax credit bonus for energy community siting. The cost argument is a developer preference, not a community obligation.</w:t>
            </w:r>
          </w:p>
          <w:p w14:paraId="1D6A5E9F" w14:textId="77777777" w:rsidR="00D11E5F" w:rsidRDefault="00000000">
            <w:pPr>
              <w:spacing w:after="60"/>
            </w:pPr>
            <w:r>
              <w:rPr>
                <w:sz w:val="17"/>
                <w:szCs w:val="17"/>
              </w:rPr>
              <w:lastRenderedPageBreak/>
              <w:t xml:space="preserve">UNIQUENESS OF FARMLAND: Jerome County’s irrigated cropland produces $639.6M </w:t>
            </w:r>
            <w:proofErr w:type="gramStart"/>
            <w:r>
              <w:rPr>
                <w:sz w:val="17"/>
                <w:szCs w:val="17"/>
              </w:rPr>
              <w:t>annually (#</w:t>
            </w:r>
            <w:proofErr w:type="gramEnd"/>
            <w:r>
              <w:rPr>
                <w:sz w:val="17"/>
                <w:szCs w:val="17"/>
              </w:rPr>
              <w:t xml:space="preserve">59 nationally), supports $274M in dairy </w:t>
            </w:r>
            <w:proofErr w:type="gramStart"/>
            <w:r>
              <w:rPr>
                <w:sz w:val="17"/>
                <w:szCs w:val="17"/>
              </w:rPr>
              <w:t>production (#</w:t>
            </w:r>
            <w:proofErr w:type="gramEnd"/>
            <w:r>
              <w:rPr>
                <w:sz w:val="17"/>
                <w:szCs w:val="17"/>
              </w:rPr>
              <w:t>16 nationally), and feeds the Magic Valley dairy industry. The lava fields Skill dismisses are part of Jerome County’s cultural and environmental heritage — which the P&amp;Z Commission itself acknowledged as worthy of protection. If both farmland and public lands warrant protection, the burden falls on developers to find sites that destroy neither.</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14BCC405" w14:textId="77777777" w:rsidR="00D11E5F" w:rsidRDefault="00000000">
            <w:pPr>
              <w:jc w:val="center"/>
            </w:pPr>
            <w:r>
              <w:rPr>
                <w:b/>
                <w:bCs/>
                <w:sz w:val="16"/>
                <w:szCs w:val="16"/>
              </w:rPr>
              <w:lastRenderedPageBreak/>
              <w:t>REVEALING / FALSE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B8A785" w14:textId="77777777" w:rsidR="00D11E5F" w:rsidRDefault="00000000">
            <w:pPr>
              <w:spacing w:after="40"/>
            </w:pPr>
            <w:r>
              <w:rPr>
                <w:sz w:val="15"/>
                <w:szCs w:val="15"/>
              </w:rPr>
              <w:t>[11] EPA RE-Powering Initiative</w:t>
            </w:r>
          </w:p>
          <w:p w14:paraId="4EFF5988" w14:textId="77777777" w:rsidR="00D11E5F" w:rsidRDefault="00000000">
            <w:pPr>
              <w:spacing w:after="40"/>
            </w:pPr>
            <w:r>
              <w:rPr>
                <w:sz w:val="15"/>
                <w:szCs w:val="15"/>
              </w:rPr>
              <w:t>[8] USDA Census of Ag</w:t>
            </w:r>
          </w:p>
          <w:p w14:paraId="351A836F" w14:textId="77777777" w:rsidR="00D11E5F" w:rsidRDefault="00000000">
            <w:pPr>
              <w:spacing w:after="40"/>
            </w:pPr>
            <w:r>
              <w:rPr>
                <w:sz w:val="15"/>
                <w:szCs w:val="15"/>
              </w:rPr>
              <w:t>IRA energy community provisions</w:t>
            </w:r>
          </w:p>
          <w:p w14:paraId="553108AC" w14:textId="77777777" w:rsidR="00D11E5F" w:rsidRDefault="00000000">
            <w:pPr>
              <w:spacing w:after="40"/>
            </w:pPr>
            <w:r>
              <w:rPr>
                <w:sz w:val="15"/>
                <w:szCs w:val="15"/>
              </w:rPr>
              <w:t>[1] USDA NRCS (2024)</w:t>
            </w:r>
          </w:p>
        </w:tc>
      </w:tr>
      <w:tr w:rsidR="00D11E5F" w14:paraId="7FBE6167"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56B228" w14:textId="77777777" w:rsidR="00D11E5F" w:rsidRDefault="00000000">
            <w:pPr>
              <w:jc w:val="center"/>
            </w:pPr>
            <w:r>
              <w:rPr>
                <w:b/>
                <w:bCs/>
                <w:sz w:val="17"/>
                <w:szCs w:val="17"/>
              </w:rPr>
              <w:t>8</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CFD8F08" w14:textId="77777777" w:rsidR="00D11E5F" w:rsidRDefault="00000000">
            <w:pPr>
              <w:spacing w:after="60"/>
            </w:pPr>
            <w:r>
              <w:rPr>
                <w:b/>
                <w:bCs/>
                <w:sz w:val="17"/>
                <w:szCs w:val="17"/>
              </w:rPr>
              <w:t>Leon Letson — Idaho Power (Ch. 11 testimony)</w:t>
            </w:r>
          </w:p>
          <w:p w14:paraId="36651254" w14:textId="77777777" w:rsidR="00D11E5F" w:rsidRDefault="00000000">
            <w:r>
              <w:rPr>
                <w:i/>
                <w:iCs/>
                <w:sz w:val="17"/>
                <w:szCs w:val="17"/>
              </w:rPr>
              <w:t>Chapter 11 would ‘encourage spot zoning creating heavy industrial zones.’ Supports SUP/CUP over zone-based approach.</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7CF3FC" w14:textId="77777777" w:rsidR="00D11E5F" w:rsidRDefault="00000000">
            <w:pPr>
              <w:spacing w:after="60"/>
            </w:pPr>
            <w:r>
              <w:rPr>
                <w:sz w:val="17"/>
                <w:szCs w:val="17"/>
              </w:rPr>
              <w:t>MISLEADING: Directing industrial facilities to industrial zones is the opposite of spot zoning. Spot zoning occurs when a small parcel is rezoned to a use incompatible with surrounding uses — precisely what happens when a 200 MW BESS is permitted on agricultural land via CUP. The zone-based approach prevents spot zoning; the CUP-only approach enables it.</w:t>
            </w:r>
          </w:p>
          <w:p w14:paraId="7AA8F1B8" w14:textId="77777777" w:rsidR="00D11E5F" w:rsidRDefault="00000000">
            <w:pPr>
              <w:spacing w:after="60"/>
            </w:pPr>
            <w:r>
              <w:rPr>
                <w:sz w:val="17"/>
                <w:szCs w:val="17"/>
              </w:rPr>
              <w:t>INCOMPLETE: Letson’s preference for CUP-only review (without energy-specific standards) benefits Idaho Power’s interests and those of its affiliated developers. A generic CUP contains no BESS-specific conditions. Energy-specific standards would require Idaho Power and its partners to meet safety, decommissioning, and environmental requirements they currently avoid.</w:t>
            </w:r>
          </w:p>
          <w:p w14:paraId="3E4E249E" w14:textId="77777777" w:rsidR="00D11E5F" w:rsidRDefault="00000000">
            <w:pPr>
              <w:spacing w:after="60"/>
            </w:pPr>
            <w:r>
              <w:rPr>
                <w:sz w:val="17"/>
                <w:szCs w:val="17"/>
              </w:rPr>
              <w:t>CONFLICT OF INTEREST: As noted in Claim #3, BlackRock’s overlapping ownership of IDACORP/Idaho Power (~12%) and NextEra (~5–7%) means Idaho Power’s opposition to energy-specific regulation directly benefits entities that share its institutional ownership structure.</w:t>
            </w:r>
          </w:p>
        </w:tc>
        <w:tc>
          <w:tcPr>
            <w:tcW w:w="12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56DF9624" w14:textId="77777777" w:rsidR="00D11E5F" w:rsidRDefault="00000000">
            <w:pPr>
              <w:jc w:val="center"/>
            </w:pPr>
            <w:r>
              <w:rPr>
                <w:b/>
                <w:bCs/>
                <w:sz w:val="16"/>
                <w:szCs w:val="16"/>
              </w:rPr>
              <w:t>MISLEADING</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8FCDA0" w14:textId="77777777" w:rsidR="00D11E5F" w:rsidRDefault="00000000">
            <w:pPr>
              <w:spacing w:after="40"/>
            </w:pPr>
            <w:r>
              <w:rPr>
                <w:sz w:val="15"/>
                <w:szCs w:val="15"/>
              </w:rPr>
              <w:t>[S5] BlackRock/IDACORP/NextEra SEC filings</w:t>
            </w:r>
          </w:p>
          <w:p w14:paraId="59D05834" w14:textId="77777777" w:rsidR="00D11E5F" w:rsidRDefault="00000000">
            <w:pPr>
              <w:spacing w:after="40"/>
            </w:pPr>
            <w:r>
              <w:rPr>
                <w:sz w:val="15"/>
                <w:szCs w:val="15"/>
              </w:rPr>
              <w:t>Idaho LLUPA</w:t>
            </w:r>
          </w:p>
          <w:p w14:paraId="28D49E01" w14:textId="77777777" w:rsidR="00D11E5F" w:rsidRDefault="00000000">
            <w:pPr>
              <w:spacing w:after="40"/>
            </w:pPr>
            <w:r>
              <w:rPr>
                <w:sz w:val="15"/>
                <w:szCs w:val="15"/>
              </w:rPr>
              <w:t>Zoning law principles</w:t>
            </w:r>
          </w:p>
        </w:tc>
      </w:tr>
      <w:tr w:rsidR="00D11E5F" w14:paraId="2236E951"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5ABB2D7" w14:textId="77777777" w:rsidR="00D11E5F" w:rsidRDefault="00000000">
            <w:pPr>
              <w:jc w:val="center"/>
            </w:pPr>
            <w:r>
              <w:rPr>
                <w:b/>
                <w:bCs/>
                <w:sz w:val="17"/>
                <w:szCs w:val="17"/>
              </w:rPr>
              <w:t>9</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6F8B6D9" w14:textId="77777777" w:rsidR="00D11E5F" w:rsidRDefault="00000000">
            <w:pPr>
              <w:spacing w:after="60"/>
            </w:pPr>
            <w:r>
              <w:rPr>
                <w:b/>
                <w:bCs/>
                <w:sz w:val="17"/>
                <w:szCs w:val="17"/>
              </w:rPr>
              <w:t>Multiple Industry Speakers</w:t>
            </w:r>
          </w:p>
          <w:p w14:paraId="6E8B8D61" w14:textId="77777777" w:rsidR="00D11E5F" w:rsidRDefault="00000000">
            <w:r>
              <w:rPr>
                <w:i/>
                <w:iCs/>
                <w:sz w:val="17"/>
                <w:szCs w:val="17"/>
              </w:rPr>
              <w:t xml:space="preserve">Wind and solar development </w:t>
            </w:r>
            <w:proofErr w:type="gramStart"/>
            <w:r>
              <w:rPr>
                <w:i/>
                <w:iCs/>
                <w:sz w:val="17"/>
                <w:szCs w:val="17"/>
              </w:rPr>
              <w:t>represents</w:t>
            </w:r>
            <w:proofErr w:type="gramEnd"/>
            <w:r>
              <w:rPr>
                <w:i/>
                <w:iCs/>
                <w:sz w:val="17"/>
                <w:szCs w:val="17"/>
              </w:rPr>
              <w:t xml:space="preserve"> a ‘reversible loss of farm ground’ and land can be returned to agriculture after project life.</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BBA750" w14:textId="77777777" w:rsidR="00D11E5F" w:rsidRDefault="00000000">
            <w:pPr>
              <w:spacing w:after="60"/>
            </w:pPr>
            <w:r>
              <w:rPr>
                <w:sz w:val="17"/>
                <w:szCs w:val="17"/>
              </w:rPr>
              <w:t>FALSE: Every peer-reviewed source contradicts the “reversible” characterization:</w:t>
            </w:r>
          </w:p>
          <w:p w14:paraId="0C0EA99E" w14:textId="77777777" w:rsidR="00D11E5F" w:rsidRDefault="00000000">
            <w:pPr>
              <w:spacing w:after="60"/>
            </w:pPr>
            <w:r>
              <w:rPr>
                <w:sz w:val="17"/>
                <w:szCs w:val="17"/>
              </w:rPr>
              <w:t xml:space="preserve">• U.S. Congress (FPPA): Uses the term “irreversible conversion” • USDA NRCS (Dec. 2024): Documents six </w:t>
            </w:r>
            <w:r>
              <w:rPr>
                <w:sz w:val="17"/>
                <w:szCs w:val="17"/>
              </w:rPr>
              <w:lastRenderedPageBreak/>
              <w:t>categories of soil damage • NC State (2021): 20–40% crop yield loss for 3–5 years post-decommission; heavy metal remediation at $2,500+/acre • Welsh Government (2023): Recovery 18–30 years to permanent; “residual compaction” at decommission • American Farmland Trust: Classifies conversion as “loss” • Environmental Science &amp; Technology (2022): Compaction-related yield losses are significant and persistent globally • Governor Little / SB 1133 (2025): Signed prohibition reflecting legislative determination that conversion is not benign</w:t>
            </w:r>
          </w:p>
          <w:p w14:paraId="298DC820" w14:textId="77777777" w:rsidR="00D11E5F" w:rsidRDefault="00000000">
            <w:pPr>
              <w:spacing w:after="60"/>
            </w:pPr>
            <w:r>
              <w:rPr>
                <w:sz w:val="17"/>
                <w:szCs w:val="17"/>
              </w:rPr>
              <w:t>The “reversible” claim is not supported by any cited study, USDA publication, or peer-reviewed agricultural science. It is a rhetorical characterization without evidentiary foundation.</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3F43302B" w14:textId="77777777" w:rsidR="00D11E5F" w:rsidRDefault="00000000">
            <w:pPr>
              <w:jc w:val="center"/>
            </w:pPr>
            <w:r>
              <w:rPr>
                <w:b/>
                <w:bCs/>
                <w:sz w:val="16"/>
                <w:szCs w:val="16"/>
              </w:rPr>
              <w:lastRenderedPageBreak/>
              <w:t>FALSE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9BB279" w14:textId="77777777" w:rsidR="00D11E5F" w:rsidRDefault="00000000">
            <w:pPr>
              <w:spacing w:after="40"/>
            </w:pPr>
            <w:r>
              <w:rPr>
                <w:sz w:val="15"/>
                <w:szCs w:val="15"/>
              </w:rPr>
              <w:t>[14] FPPA</w:t>
            </w:r>
          </w:p>
          <w:p w14:paraId="631A7F0E" w14:textId="77777777" w:rsidR="00D11E5F" w:rsidRDefault="00000000">
            <w:pPr>
              <w:spacing w:after="40"/>
            </w:pPr>
            <w:r>
              <w:rPr>
                <w:sz w:val="15"/>
                <w:szCs w:val="15"/>
              </w:rPr>
              <w:t>[1] USDA NRCS (2024)</w:t>
            </w:r>
          </w:p>
          <w:p w14:paraId="0A8937A5" w14:textId="77777777" w:rsidR="00D11E5F" w:rsidRDefault="00000000">
            <w:pPr>
              <w:spacing w:after="40"/>
            </w:pPr>
            <w:r>
              <w:rPr>
                <w:sz w:val="15"/>
                <w:szCs w:val="15"/>
              </w:rPr>
              <w:t>[4] NC State (2021)</w:t>
            </w:r>
          </w:p>
          <w:p w14:paraId="4D287C93" w14:textId="77777777" w:rsidR="00D11E5F" w:rsidRDefault="00000000">
            <w:pPr>
              <w:spacing w:after="40"/>
            </w:pPr>
            <w:r>
              <w:rPr>
                <w:sz w:val="15"/>
                <w:szCs w:val="15"/>
              </w:rPr>
              <w:t>[5] Welsh Govt. (2023)</w:t>
            </w:r>
          </w:p>
          <w:p w14:paraId="253FDFC2" w14:textId="77777777" w:rsidR="00D11E5F" w:rsidRDefault="00000000">
            <w:pPr>
              <w:spacing w:after="40"/>
            </w:pPr>
            <w:r>
              <w:rPr>
                <w:sz w:val="15"/>
                <w:szCs w:val="15"/>
              </w:rPr>
              <w:t>[2] AFT Farms Under Threat</w:t>
            </w:r>
          </w:p>
          <w:p w14:paraId="1E77CC7A" w14:textId="77777777" w:rsidR="00D11E5F" w:rsidRDefault="00000000">
            <w:pPr>
              <w:spacing w:after="40"/>
            </w:pPr>
            <w:r>
              <w:rPr>
                <w:sz w:val="15"/>
                <w:szCs w:val="15"/>
              </w:rPr>
              <w:t>[12] SB 1133</w:t>
            </w:r>
          </w:p>
          <w:p w14:paraId="74EC243B" w14:textId="77777777" w:rsidR="00D11E5F" w:rsidRDefault="00000000">
            <w:pPr>
              <w:spacing w:after="40"/>
            </w:pPr>
            <w:r>
              <w:rPr>
                <w:sz w:val="15"/>
                <w:szCs w:val="15"/>
              </w:rPr>
              <w:lastRenderedPageBreak/>
              <w:t>[16] Env. Sci. &amp; Tech. (2022)</w:t>
            </w:r>
          </w:p>
        </w:tc>
      </w:tr>
      <w:tr w:rsidR="00D11E5F" w14:paraId="20B211F2"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A181E6" w14:textId="77777777" w:rsidR="00D11E5F" w:rsidRDefault="00000000">
            <w:pPr>
              <w:jc w:val="center"/>
            </w:pPr>
            <w:r>
              <w:rPr>
                <w:b/>
                <w:bCs/>
                <w:sz w:val="17"/>
                <w:szCs w:val="17"/>
              </w:rPr>
              <w:lastRenderedPageBreak/>
              <w:t>10</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201143E" w14:textId="77777777" w:rsidR="00D11E5F" w:rsidRDefault="00000000">
            <w:pPr>
              <w:spacing w:after="60"/>
            </w:pPr>
            <w:r>
              <w:rPr>
                <w:b/>
                <w:bCs/>
                <w:sz w:val="17"/>
                <w:szCs w:val="17"/>
              </w:rPr>
              <w:t>Multiple Industry Speakers</w:t>
            </w:r>
          </w:p>
          <w:p w14:paraId="5E72777F" w14:textId="77777777" w:rsidR="00D11E5F" w:rsidRDefault="00000000">
            <w:r>
              <w:rPr>
                <w:i/>
                <w:iCs/>
                <w:sz w:val="17"/>
                <w:szCs w:val="17"/>
              </w:rPr>
              <w:t>The CUP process is adequate to protect county interests without energy-specific standards.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5F2F55" w14:textId="77777777" w:rsidR="00D11E5F" w:rsidRDefault="00000000">
            <w:pPr>
              <w:spacing w:after="60"/>
            </w:pPr>
            <w:r>
              <w:rPr>
                <w:sz w:val="17"/>
                <w:szCs w:val="17"/>
              </w:rPr>
              <w:t xml:space="preserve">FALSE: A generic CUP without energy-specific standards provides zero BESS-specific </w:t>
            </w:r>
            <w:proofErr w:type="gramStart"/>
            <w:r>
              <w:rPr>
                <w:sz w:val="17"/>
                <w:szCs w:val="17"/>
              </w:rPr>
              <w:t>protections</w:t>
            </w:r>
            <w:proofErr w:type="gramEnd"/>
            <w:r>
              <w:rPr>
                <w:sz w:val="17"/>
                <w:szCs w:val="17"/>
              </w:rPr>
              <w:t>. After the P&amp;Z’s three votes, Jerome County has: no energy-specific zoning standards; a weakened permit framework (SUP to CUP); no protective comprehensive plan language. Any BESS proposal — 5 MW to 500 MW — can now be evaluated with:</w:t>
            </w:r>
          </w:p>
          <w:p w14:paraId="26A7B4CF" w14:textId="77777777" w:rsidR="00D11E5F" w:rsidRDefault="00000000">
            <w:pPr>
              <w:spacing w:after="60"/>
            </w:pPr>
            <w:r>
              <w:rPr>
                <w:sz w:val="17"/>
                <w:szCs w:val="17"/>
              </w:rPr>
              <w:t>• No BESS-specific fire safety requirements • No mandated setbacks from residences • No decommissioning bonds • No environmental impact assessment • No battery chemistry disclosure • No emergency response funding • No independent monitoring provisions</w:t>
            </w:r>
          </w:p>
          <w:p w14:paraId="0AD03661" w14:textId="77777777" w:rsidR="00D11E5F" w:rsidRDefault="00000000">
            <w:pPr>
              <w:spacing w:after="60"/>
            </w:pPr>
            <w:r>
              <w:rPr>
                <w:sz w:val="17"/>
                <w:szCs w:val="17"/>
              </w:rPr>
              <w:t>The P&amp;Z’s own removal of property value impact (Section 7-6.02(C)) from CUP review — on grounds it is “difficult to quantify” — contradicts the PNAS (2025) study documenting 4.8% average residential decline within 3 miles and LBNL (2023) documenting 1.5–5.8% declines. The “adequate” CUP cannot even consider documented property value harm.</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70C2DE28" w14:textId="77777777" w:rsidR="00D11E5F" w:rsidRDefault="00000000">
            <w:pPr>
              <w:jc w:val="center"/>
            </w:pPr>
            <w:r>
              <w:rPr>
                <w:b/>
                <w:bCs/>
                <w:sz w:val="16"/>
                <w:szCs w:val="16"/>
              </w:rPr>
              <w:t>FALSE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D1AA33" w14:textId="77777777" w:rsidR="00D11E5F" w:rsidRDefault="00000000">
            <w:pPr>
              <w:spacing w:after="40"/>
            </w:pPr>
            <w:r>
              <w:rPr>
                <w:sz w:val="15"/>
                <w:szCs w:val="15"/>
              </w:rPr>
              <w:t>[6a] Hoen et al., PNAS (2025)</w:t>
            </w:r>
          </w:p>
          <w:p w14:paraId="4C7B6887" w14:textId="77777777" w:rsidR="00D11E5F" w:rsidRDefault="00000000">
            <w:pPr>
              <w:spacing w:after="40"/>
            </w:pPr>
            <w:r>
              <w:rPr>
                <w:sz w:val="15"/>
                <w:szCs w:val="15"/>
              </w:rPr>
              <w:t>[7a] Hoen et al., LBNL (2023)</w:t>
            </w:r>
          </w:p>
          <w:p w14:paraId="3565E294" w14:textId="77777777" w:rsidR="00D11E5F" w:rsidRDefault="00000000">
            <w:pPr>
              <w:spacing w:after="40"/>
            </w:pPr>
            <w:r>
              <w:rPr>
                <w:sz w:val="15"/>
                <w:szCs w:val="15"/>
              </w:rPr>
              <w:t>Jerome County P&amp;Z Minutes, Jan. 26, 2026</w:t>
            </w:r>
          </w:p>
        </w:tc>
      </w:tr>
      <w:tr w:rsidR="00D11E5F" w14:paraId="5BFC5E1D"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674402" w14:textId="77777777" w:rsidR="00D11E5F" w:rsidRDefault="00000000">
            <w:pPr>
              <w:jc w:val="center"/>
            </w:pPr>
            <w:r>
              <w:rPr>
                <w:b/>
                <w:bCs/>
                <w:sz w:val="17"/>
                <w:szCs w:val="17"/>
              </w:rPr>
              <w:lastRenderedPageBreak/>
              <w:t>11</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6A8EB6D" w14:textId="77777777" w:rsidR="00D11E5F" w:rsidRDefault="00000000">
            <w:pPr>
              <w:spacing w:after="60"/>
            </w:pPr>
            <w:r>
              <w:rPr>
                <w:b/>
                <w:bCs/>
                <w:sz w:val="17"/>
                <w:szCs w:val="17"/>
              </w:rPr>
              <w:t>Industry Consensus (All Speakers)</w:t>
            </w:r>
          </w:p>
          <w:p w14:paraId="695C813F" w14:textId="77777777" w:rsidR="00D11E5F" w:rsidRDefault="00000000">
            <w:r>
              <w:rPr>
                <w:i/>
                <w:iCs/>
                <w:sz w:val="17"/>
                <w:szCs w:val="17"/>
              </w:rPr>
              <w:t>BESS and energy facilities are safe, well-regulated, and pose minimal risk to communities.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D74720" w14:textId="77777777" w:rsidR="00D11E5F" w:rsidRDefault="00000000">
            <w:pPr>
              <w:spacing w:after="60"/>
            </w:pPr>
            <w:r>
              <w:rPr>
                <w:sz w:val="17"/>
                <w:szCs w:val="17"/>
              </w:rPr>
              <w:t xml:space="preserve">CRITICALLY INCOMPLETE: The following facts, available </w:t>
            </w:r>
            <w:proofErr w:type="gramStart"/>
            <w:r>
              <w:rPr>
                <w:sz w:val="17"/>
                <w:szCs w:val="17"/>
              </w:rPr>
              <w:t>in</w:t>
            </w:r>
            <w:proofErr w:type="gramEnd"/>
            <w:r>
              <w:rPr>
                <w:sz w:val="17"/>
                <w:szCs w:val="17"/>
              </w:rPr>
              <w:t xml:space="preserve"> the public record, were not raised by any industry speaker:</w:t>
            </w:r>
          </w:p>
          <w:p w14:paraId="09D0460F" w14:textId="77777777" w:rsidR="00D11E5F" w:rsidRDefault="00000000">
            <w:pPr>
              <w:spacing w:after="60"/>
            </w:pPr>
            <w:r>
              <w:rPr>
                <w:sz w:val="17"/>
                <w:szCs w:val="17"/>
              </w:rPr>
              <w:t xml:space="preserve">1. Moss Landing (Jan. 2025): World’s largest BESS fire — 55,000 </w:t>
            </w:r>
            <w:proofErr w:type="spellStart"/>
            <w:r>
              <w:rPr>
                <w:sz w:val="17"/>
                <w:szCs w:val="17"/>
              </w:rPr>
              <w:t>lbs</w:t>
            </w:r>
            <w:proofErr w:type="spellEnd"/>
            <w:r>
              <w:rPr>
                <w:sz w:val="17"/>
                <w:szCs w:val="17"/>
              </w:rPr>
              <w:t xml:space="preserve"> toxic metals, 1,500 evacuated, fire reignited a month later, cobalt/manganese exceeding child safety thresholds.</w:t>
            </w:r>
          </w:p>
          <w:p w14:paraId="161C601B" w14:textId="77777777" w:rsidR="00D11E5F" w:rsidRDefault="00000000">
            <w:pPr>
              <w:spacing w:after="60"/>
            </w:pPr>
            <w:r>
              <w:rPr>
                <w:sz w:val="17"/>
                <w:szCs w:val="17"/>
              </w:rPr>
              <w:t>2. NextEra East Hampton (May 2023): NextEra’s own BESS fire — roads closed, trains halted, year to rebuild. Collins testified without disclosing this.</w:t>
            </w:r>
          </w:p>
          <w:p w14:paraId="599F9731" w14:textId="77777777" w:rsidR="00D11E5F" w:rsidRDefault="00000000">
            <w:pPr>
              <w:spacing w:after="60"/>
            </w:pPr>
            <w:r>
              <w:rPr>
                <w:sz w:val="17"/>
                <w:szCs w:val="17"/>
              </w:rPr>
              <w:t>3. McMicken, AZ (2019): Explosion injured 4 firefighters — TBI, broken bones, burns, captain thrown 70 feet.</w:t>
            </w:r>
          </w:p>
          <w:p w14:paraId="5A781328" w14:textId="77777777" w:rsidR="00D11E5F" w:rsidRDefault="00000000">
            <w:pPr>
              <w:spacing w:after="60"/>
            </w:pPr>
            <w:r>
              <w:rPr>
                <w:sz w:val="17"/>
                <w:szCs w:val="17"/>
              </w:rPr>
              <w:t xml:space="preserve">4. BMS as safety-critical system: 65% of BESS failures caused by controls/integration, not cells. BMS is proprietary, </w:t>
            </w:r>
            <w:proofErr w:type="spellStart"/>
            <w:r>
              <w:rPr>
                <w:sz w:val="17"/>
                <w:szCs w:val="17"/>
              </w:rPr>
              <w:t>unauditable</w:t>
            </w:r>
            <w:proofErr w:type="spellEnd"/>
            <w:r>
              <w:rPr>
                <w:sz w:val="17"/>
                <w:szCs w:val="17"/>
              </w:rPr>
              <w:t xml:space="preserve"> software with no cybersecurity standards in many deployments.</w:t>
            </w:r>
          </w:p>
          <w:p w14:paraId="4B83D600" w14:textId="77777777" w:rsidR="00D11E5F" w:rsidRDefault="00000000">
            <w:pPr>
              <w:spacing w:after="60"/>
            </w:pPr>
            <w:r>
              <w:rPr>
                <w:sz w:val="17"/>
                <w:szCs w:val="17"/>
              </w:rPr>
              <w:t>5. Battery chemistry: NextEra’s primary supplier (Samsung SDI) ships NCA chemistry — not the “safer” LFP. Nobody asked what chemistry would be deployed.</w:t>
            </w:r>
          </w:p>
          <w:p w14:paraId="1BB58A21" w14:textId="77777777" w:rsidR="00D11E5F" w:rsidRDefault="00000000">
            <w:pPr>
              <w:spacing w:after="60"/>
            </w:pPr>
            <w:r>
              <w:rPr>
                <w:sz w:val="17"/>
                <w:szCs w:val="17"/>
              </w:rPr>
              <w:t>6. Emergency response: Nobody asked if Jerome County fire department can handle a multi-day lithium-ion fire producing toxic HF gas.</w:t>
            </w:r>
          </w:p>
          <w:p w14:paraId="1E80DC72" w14:textId="77777777" w:rsidR="00D11E5F" w:rsidRDefault="00000000">
            <w:pPr>
              <w:spacing w:after="60"/>
            </w:pPr>
            <w:r>
              <w:rPr>
                <w:sz w:val="17"/>
                <w:szCs w:val="17"/>
              </w:rPr>
              <w:t>7. Decommissioning: Nobody asked who pays cleanup when the project LLC dissolves in 20–30 years.</w:t>
            </w:r>
          </w:p>
        </w:tc>
        <w:tc>
          <w:tcPr>
            <w:tcW w:w="1200" w:type="dxa"/>
            <w:tcBorders>
              <w:top w:val="single" w:sz="1" w:space="0" w:color="CCCCCC"/>
              <w:left w:val="single" w:sz="1" w:space="0" w:color="CCCCCC"/>
              <w:bottom w:val="single" w:sz="1" w:space="0" w:color="CCCCCC"/>
              <w:right w:val="single" w:sz="1" w:space="0" w:color="CCCCCC"/>
            </w:tcBorders>
            <w:shd w:val="clear" w:color="auto" w:fill="FDE8E8"/>
            <w:tcMar>
              <w:top w:w="80" w:type="dxa"/>
              <w:left w:w="120" w:type="dxa"/>
              <w:bottom w:w="80" w:type="dxa"/>
              <w:right w:w="120" w:type="dxa"/>
            </w:tcMar>
          </w:tcPr>
          <w:p w14:paraId="5095CDB1" w14:textId="77777777" w:rsidR="00D11E5F" w:rsidRDefault="00000000">
            <w:pPr>
              <w:jc w:val="center"/>
            </w:pPr>
            <w:r>
              <w:rPr>
                <w:b/>
                <w:bCs/>
                <w:sz w:val="16"/>
                <w:szCs w:val="16"/>
              </w:rPr>
              <w:t>CRITICALLY INCOMPLETE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00D5B2" w14:textId="77777777" w:rsidR="00D11E5F" w:rsidRDefault="00000000">
            <w:pPr>
              <w:spacing w:after="40"/>
            </w:pPr>
            <w:r>
              <w:rPr>
                <w:sz w:val="15"/>
                <w:szCs w:val="15"/>
              </w:rPr>
              <w:t>[S1–S4] BESS fire incident records</w:t>
            </w:r>
          </w:p>
          <w:p w14:paraId="2112D1B3" w14:textId="77777777" w:rsidR="00D11E5F" w:rsidRDefault="00000000">
            <w:pPr>
              <w:spacing w:after="40"/>
            </w:pPr>
            <w:r>
              <w:rPr>
                <w:sz w:val="15"/>
                <w:szCs w:val="15"/>
              </w:rPr>
              <w:t>EPRI/</w:t>
            </w:r>
            <w:proofErr w:type="gramStart"/>
            <w:r>
              <w:rPr>
                <w:sz w:val="15"/>
                <w:szCs w:val="15"/>
              </w:rPr>
              <w:t>DOE failure</w:t>
            </w:r>
            <w:proofErr w:type="gramEnd"/>
            <w:r>
              <w:rPr>
                <w:sz w:val="15"/>
                <w:szCs w:val="15"/>
              </w:rPr>
              <w:t xml:space="preserve"> database</w:t>
            </w:r>
          </w:p>
          <w:p w14:paraId="6A03972B" w14:textId="77777777" w:rsidR="00D11E5F" w:rsidRDefault="00000000">
            <w:pPr>
              <w:spacing w:after="40"/>
            </w:pPr>
            <w:r>
              <w:rPr>
                <w:sz w:val="15"/>
                <w:szCs w:val="15"/>
              </w:rPr>
              <w:t>Samsung SDI product data</w:t>
            </w:r>
          </w:p>
          <w:p w14:paraId="26CB2FFA" w14:textId="77777777" w:rsidR="00D11E5F" w:rsidRDefault="00000000">
            <w:pPr>
              <w:spacing w:after="40"/>
            </w:pPr>
            <w:r>
              <w:rPr>
                <w:sz w:val="15"/>
                <w:szCs w:val="15"/>
              </w:rPr>
              <w:t>NFPA 855</w:t>
            </w:r>
          </w:p>
        </w:tc>
      </w:tr>
      <w:tr w:rsidR="00D11E5F" w14:paraId="68D37EBF" w14:textId="77777777">
        <w:tblPrEx>
          <w:tblCellMar>
            <w:top w:w="0" w:type="dxa"/>
            <w:bottom w:w="0" w:type="dxa"/>
          </w:tblCellMar>
        </w:tblPrEx>
        <w:tc>
          <w:tcPr>
            <w:tcW w:w="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B365A2" w14:textId="77777777" w:rsidR="00D11E5F" w:rsidRDefault="00000000">
            <w:pPr>
              <w:jc w:val="center"/>
            </w:pPr>
            <w:r>
              <w:rPr>
                <w:b/>
                <w:bCs/>
                <w:sz w:val="17"/>
                <w:szCs w:val="17"/>
              </w:rPr>
              <w:t>12</w:t>
            </w:r>
          </w:p>
        </w:tc>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C4EF5A8" w14:textId="77777777" w:rsidR="00D11E5F" w:rsidRDefault="00000000">
            <w:pPr>
              <w:spacing w:after="60"/>
            </w:pPr>
            <w:r>
              <w:rPr>
                <w:b/>
                <w:bCs/>
                <w:sz w:val="17"/>
                <w:szCs w:val="17"/>
              </w:rPr>
              <w:t>Industry Consensus</w:t>
            </w:r>
          </w:p>
          <w:p w14:paraId="6C3306F8" w14:textId="77777777" w:rsidR="00D11E5F" w:rsidRDefault="00000000">
            <w:r>
              <w:rPr>
                <w:i/>
                <w:iCs/>
                <w:sz w:val="17"/>
                <w:szCs w:val="17"/>
              </w:rPr>
              <w:t>Energy development will benefit Jerome County economically through tax revenue, jobs, and economic activity.</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9F493B" w14:textId="77777777" w:rsidR="00D11E5F" w:rsidRDefault="00000000">
            <w:pPr>
              <w:spacing w:after="60"/>
            </w:pPr>
            <w:r>
              <w:rPr>
                <w:sz w:val="17"/>
                <w:szCs w:val="17"/>
              </w:rPr>
              <w:t>MISLEADING: The economic benefit narrative omits documented costs:</w:t>
            </w:r>
          </w:p>
          <w:p w14:paraId="05C9676E" w14:textId="77777777" w:rsidR="00D11E5F" w:rsidRDefault="00000000">
            <w:pPr>
              <w:spacing w:after="60"/>
            </w:pPr>
            <w:r>
              <w:rPr>
                <w:sz w:val="17"/>
                <w:szCs w:val="17"/>
              </w:rPr>
              <w:t xml:space="preserve">• Property values: PNAS (2025) documents 4.8% decline within 3 miles. For a $400,000 home, that is $19,200 in lost equity — uncompensated. • Utility rates: Goldman Sachs (Feb. 2026) documents electricity prices surging 7% in 2025, with projected 6% inflation 2026–2027. Record $31B in rate increase requests. • Water: ESPA already in </w:t>
            </w:r>
            <w:proofErr w:type="gramStart"/>
            <w:r>
              <w:rPr>
                <w:sz w:val="17"/>
                <w:szCs w:val="17"/>
              </w:rPr>
              <w:t>75,300 acre-foot</w:t>
            </w:r>
            <w:proofErr w:type="gramEnd"/>
            <w:r>
              <w:rPr>
                <w:sz w:val="17"/>
                <w:szCs w:val="17"/>
              </w:rPr>
              <w:t xml:space="preserve"> deficit (IDWR, 2025). Any new industrial demand competes with $639M agricultural economy. • Jobs: A 12 MW facility employs ~20 </w:t>
            </w:r>
            <w:r>
              <w:rPr>
                <w:sz w:val="17"/>
                <w:szCs w:val="17"/>
              </w:rPr>
              <w:lastRenderedPageBreak/>
              <w:t>workers. Public cost per job routinely exceeds $1–2M in incentives. At least 36 states offer tax exemptions, creating a race to the bottom. • Tax abatements: Idaho Code §63-3029B provides solar facility property tax exemptions. Promised revenue is often a fraction of projections after abatements.</w:t>
            </w:r>
          </w:p>
          <w:p w14:paraId="1A919857" w14:textId="77777777" w:rsidR="00D11E5F" w:rsidRDefault="00000000">
            <w:pPr>
              <w:spacing w:after="60"/>
            </w:pPr>
            <w:r>
              <w:rPr>
                <w:sz w:val="17"/>
                <w:szCs w:val="17"/>
              </w:rPr>
              <w:t>The community has evaluated this tradeoff: 87.7% of survey respondents chose farmland/rural character protection over energy development for tax revenue (</w:t>
            </w:r>
            <w:proofErr w:type="spellStart"/>
            <w:r>
              <w:rPr>
                <w:sz w:val="17"/>
                <w:szCs w:val="17"/>
              </w:rPr>
              <w:t>JTown</w:t>
            </w:r>
            <w:proofErr w:type="spellEnd"/>
            <w:r>
              <w:rPr>
                <w:sz w:val="17"/>
                <w:szCs w:val="17"/>
              </w:rPr>
              <w:t xml:space="preserve"> Beacon Survey, Q9). Only 4.6% favored expansion at agriculture’s expense.</w:t>
            </w:r>
          </w:p>
        </w:tc>
        <w:tc>
          <w:tcPr>
            <w:tcW w:w="1200" w:type="dxa"/>
            <w:tcBorders>
              <w:top w:val="single" w:sz="1" w:space="0" w:color="CCCCCC"/>
              <w:left w:val="single" w:sz="1" w:space="0" w:color="CCCCCC"/>
              <w:bottom w:val="single" w:sz="1" w:space="0" w:color="CCCCCC"/>
              <w:right w:val="single" w:sz="1" w:space="0" w:color="CCCCCC"/>
            </w:tcBorders>
            <w:shd w:val="clear" w:color="auto" w:fill="FFF3CD"/>
            <w:tcMar>
              <w:top w:w="80" w:type="dxa"/>
              <w:left w:w="120" w:type="dxa"/>
              <w:bottom w:w="80" w:type="dxa"/>
              <w:right w:w="120" w:type="dxa"/>
            </w:tcMar>
          </w:tcPr>
          <w:p w14:paraId="5E8E0FFB" w14:textId="77777777" w:rsidR="00D11E5F" w:rsidRDefault="00000000">
            <w:pPr>
              <w:jc w:val="center"/>
            </w:pPr>
            <w:r>
              <w:rPr>
                <w:b/>
                <w:bCs/>
                <w:sz w:val="16"/>
                <w:szCs w:val="16"/>
              </w:rPr>
              <w:lastRenderedPageBreak/>
              <w:t>MISLEADING / INCOMPLETE</w:t>
            </w:r>
          </w:p>
        </w:tc>
        <w:tc>
          <w:tcPr>
            <w:tcW w:w="1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07E9E0" w14:textId="77777777" w:rsidR="00D11E5F" w:rsidRDefault="00000000">
            <w:pPr>
              <w:spacing w:after="40"/>
            </w:pPr>
            <w:r>
              <w:rPr>
                <w:sz w:val="15"/>
                <w:szCs w:val="15"/>
              </w:rPr>
              <w:t>[6a] PNAS (2025)</w:t>
            </w:r>
          </w:p>
          <w:p w14:paraId="49A3FA1C" w14:textId="77777777" w:rsidR="00D11E5F" w:rsidRDefault="00000000">
            <w:pPr>
              <w:spacing w:after="40"/>
            </w:pPr>
            <w:r>
              <w:rPr>
                <w:sz w:val="15"/>
                <w:szCs w:val="15"/>
              </w:rPr>
              <w:t>[S6] Goldman Sachs (2026)</w:t>
            </w:r>
          </w:p>
          <w:p w14:paraId="32BEE5CE" w14:textId="77777777" w:rsidR="00D11E5F" w:rsidRDefault="00000000">
            <w:pPr>
              <w:spacing w:after="40"/>
            </w:pPr>
            <w:r>
              <w:rPr>
                <w:sz w:val="15"/>
                <w:szCs w:val="15"/>
              </w:rPr>
              <w:t>IDWR (2025)</w:t>
            </w:r>
          </w:p>
          <w:p w14:paraId="6082DD4F" w14:textId="77777777" w:rsidR="00D11E5F" w:rsidRDefault="00000000">
            <w:pPr>
              <w:spacing w:after="40"/>
            </w:pPr>
            <w:r>
              <w:rPr>
                <w:sz w:val="15"/>
                <w:szCs w:val="15"/>
              </w:rPr>
              <w:t>Idaho Code §63-3029B</w:t>
            </w:r>
          </w:p>
          <w:p w14:paraId="177118DC" w14:textId="77777777" w:rsidR="00D11E5F" w:rsidRDefault="00000000">
            <w:pPr>
              <w:spacing w:after="40"/>
            </w:pPr>
            <w:r>
              <w:rPr>
                <w:sz w:val="15"/>
                <w:szCs w:val="15"/>
              </w:rPr>
              <w:t xml:space="preserve">[15] </w:t>
            </w:r>
            <w:proofErr w:type="spellStart"/>
            <w:r>
              <w:rPr>
                <w:sz w:val="15"/>
                <w:szCs w:val="15"/>
              </w:rPr>
              <w:t>JTown</w:t>
            </w:r>
            <w:proofErr w:type="spellEnd"/>
            <w:r>
              <w:rPr>
                <w:sz w:val="15"/>
                <w:szCs w:val="15"/>
              </w:rPr>
              <w:t xml:space="preserve"> Beacon Survey (2026)</w:t>
            </w:r>
          </w:p>
        </w:tc>
      </w:tr>
    </w:tbl>
    <w:p w14:paraId="14B24287" w14:textId="77777777" w:rsidR="00D11E5F" w:rsidRDefault="00000000">
      <w:r>
        <w:br w:type="page"/>
      </w:r>
    </w:p>
    <w:p w14:paraId="15AEE00E" w14:textId="77777777" w:rsidR="00D11E5F" w:rsidRDefault="00000000">
      <w:pPr>
        <w:pStyle w:val="Heading1"/>
      </w:pPr>
      <w:r>
        <w:lastRenderedPageBreak/>
        <w:t>Sources and Citations</w:t>
      </w:r>
    </w:p>
    <w:p w14:paraId="70D63699" w14:textId="77777777" w:rsidR="00D11E5F" w:rsidRDefault="00000000">
      <w:pPr>
        <w:spacing w:after="60"/>
      </w:pPr>
      <w:r>
        <w:rPr>
          <w:i/>
          <w:iCs/>
          <w:sz w:val="20"/>
          <w:szCs w:val="20"/>
        </w:rPr>
        <w:t>All sources are publicly available and verifiable. Numbered references correspond to citations in the rebuttal table.</w:t>
      </w:r>
    </w:p>
    <w:p w14:paraId="64F990A7" w14:textId="77777777" w:rsidR="00D11E5F" w:rsidRDefault="00000000">
      <w:pPr>
        <w:pStyle w:val="Heading2"/>
      </w:pPr>
      <w:r>
        <w:t>Federal Agencies and Government Data</w:t>
      </w:r>
    </w:p>
    <w:p w14:paraId="552F4749" w14:textId="77777777" w:rsidR="00D11E5F" w:rsidRDefault="00000000">
      <w:pPr>
        <w:spacing w:after="60"/>
      </w:pPr>
      <w:r>
        <w:rPr>
          <w:sz w:val="19"/>
          <w:szCs w:val="19"/>
        </w:rPr>
        <w:t>[1] USDA NRCS, Conservation Guidance for Utility-Scale Solar Projects (December 2024). Documents six categories of soil conservation damage from solar construction on agricultural land.</w:t>
      </w:r>
    </w:p>
    <w:p w14:paraId="11CE9596" w14:textId="77777777" w:rsidR="00D11E5F" w:rsidRDefault="00000000">
      <w:pPr>
        <w:spacing w:after="60"/>
      </w:pPr>
      <w:r>
        <w:rPr>
          <w:sz w:val="19"/>
          <w:szCs w:val="19"/>
        </w:rPr>
        <w:t>[2] American Farmland Trust, Farms Under Threat 2040: Choosing an Abundant Future (2022). Projects 83% of utility-scale solar will target agricultural land; 18.4M acres at risk by 2040.</w:t>
      </w:r>
    </w:p>
    <w:p w14:paraId="3D4D5BB5" w14:textId="77777777" w:rsidR="00D11E5F" w:rsidRDefault="00000000">
      <w:pPr>
        <w:spacing w:after="60"/>
      </w:pPr>
      <w:r>
        <w:rPr>
          <w:sz w:val="19"/>
          <w:szCs w:val="19"/>
        </w:rPr>
        <w:t xml:space="preserve">[8] USDA Census of Agriculture, Jerome County Profile. $639.6M market </w:t>
      </w:r>
      <w:proofErr w:type="gramStart"/>
      <w:r>
        <w:rPr>
          <w:sz w:val="19"/>
          <w:szCs w:val="19"/>
        </w:rPr>
        <w:t>value (#</w:t>
      </w:r>
      <w:proofErr w:type="gramEnd"/>
      <w:r>
        <w:rPr>
          <w:sz w:val="19"/>
          <w:szCs w:val="19"/>
        </w:rPr>
        <w:t xml:space="preserve">4 </w:t>
      </w:r>
      <w:proofErr w:type="gramStart"/>
      <w:r>
        <w:rPr>
          <w:sz w:val="19"/>
          <w:szCs w:val="19"/>
        </w:rPr>
        <w:t>Idaho, #</w:t>
      </w:r>
      <w:proofErr w:type="gramEnd"/>
      <w:r>
        <w:rPr>
          <w:sz w:val="19"/>
          <w:szCs w:val="19"/>
        </w:rPr>
        <w:t xml:space="preserve">59 nationally); $274.3M milk </w:t>
      </w:r>
      <w:proofErr w:type="gramStart"/>
      <w:r>
        <w:rPr>
          <w:sz w:val="19"/>
          <w:szCs w:val="19"/>
        </w:rPr>
        <w:t>sales (#</w:t>
      </w:r>
      <w:proofErr w:type="gramEnd"/>
      <w:r>
        <w:rPr>
          <w:sz w:val="19"/>
          <w:szCs w:val="19"/>
        </w:rPr>
        <w:t>16 nationally); 157,000+ irrigated acres.</w:t>
      </w:r>
    </w:p>
    <w:p w14:paraId="5BC3FBC7" w14:textId="77777777" w:rsidR="00D11E5F" w:rsidRDefault="00000000">
      <w:pPr>
        <w:spacing w:after="60"/>
      </w:pPr>
      <w:r>
        <w:rPr>
          <w:sz w:val="19"/>
          <w:szCs w:val="19"/>
        </w:rPr>
        <w:t>[11] U.S. EPA, RE-Powering America’s Land Initiative. 190,000+ acres pre-screened; 624+ brightfield projects on already-disturbed land.</w:t>
      </w:r>
    </w:p>
    <w:p w14:paraId="089EF702" w14:textId="77777777" w:rsidR="00D11E5F" w:rsidRDefault="00000000">
      <w:pPr>
        <w:spacing w:after="60"/>
      </w:pPr>
      <w:r>
        <w:rPr>
          <w:sz w:val="19"/>
          <w:szCs w:val="19"/>
        </w:rPr>
        <w:t>[14] Farmland Protection Policy Act (FPPA), 7 U.S.C. §4201. Federal policy of minimizing “irreversible conversion” of farmland.</w:t>
      </w:r>
    </w:p>
    <w:p w14:paraId="5576C8EA" w14:textId="77777777" w:rsidR="00D11E5F" w:rsidRDefault="00000000">
      <w:pPr>
        <w:spacing w:after="60"/>
      </w:pPr>
      <w:r>
        <w:rPr>
          <w:sz w:val="19"/>
          <w:szCs w:val="19"/>
        </w:rPr>
        <w:t>IDWR, Director’s Shortfall Determination (July 2025). ESPA deficit: 75,300 acre-feet; earliest curtailment cutoff date in Idaho history.</w:t>
      </w:r>
    </w:p>
    <w:p w14:paraId="490693E5" w14:textId="77777777" w:rsidR="00D11E5F" w:rsidRDefault="00000000">
      <w:pPr>
        <w:pStyle w:val="Heading2"/>
      </w:pPr>
      <w:r>
        <w:t>Peer-Reviewed Research</w:t>
      </w:r>
    </w:p>
    <w:p w14:paraId="1C649EB2" w14:textId="77777777" w:rsidR="00D11E5F" w:rsidRDefault="00000000">
      <w:pPr>
        <w:spacing w:after="60"/>
      </w:pPr>
      <w:r>
        <w:rPr>
          <w:sz w:val="19"/>
          <w:szCs w:val="19"/>
        </w:rPr>
        <w:t>[4] NC State University Cooperative Extension (2021). 20–40% yield loss for 3–5 years post-decommission; heavy metal remediation ~$2,500/acre.</w:t>
      </w:r>
    </w:p>
    <w:p w14:paraId="5B28D8B8" w14:textId="77777777" w:rsidR="00D11E5F" w:rsidRDefault="00000000">
      <w:pPr>
        <w:spacing w:after="60"/>
      </w:pPr>
      <w:r>
        <w:rPr>
          <w:sz w:val="19"/>
          <w:szCs w:val="19"/>
        </w:rPr>
        <w:t xml:space="preserve">[5] Welsh Government Soil Policy Evidence </w:t>
      </w:r>
      <w:proofErr w:type="spellStart"/>
      <w:r>
        <w:rPr>
          <w:sz w:val="19"/>
          <w:szCs w:val="19"/>
        </w:rPr>
        <w:t>Programme</w:t>
      </w:r>
      <w:proofErr w:type="spellEnd"/>
      <w:r>
        <w:rPr>
          <w:sz w:val="19"/>
          <w:szCs w:val="19"/>
        </w:rPr>
        <w:t xml:space="preserve"> (2023). Recovery timescales 18–30 years to permanent; “residual compaction” at decommissioning.</w:t>
      </w:r>
    </w:p>
    <w:p w14:paraId="490F04AD" w14:textId="77777777" w:rsidR="00D11E5F" w:rsidRDefault="00000000">
      <w:pPr>
        <w:spacing w:after="60"/>
      </w:pPr>
      <w:r>
        <w:rPr>
          <w:sz w:val="19"/>
          <w:szCs w:val="19"/>
        </w:rPr>
        <w:t xml:space="preserve">[6a] Hoen, B. et al., Proceedings of the National Academy of Sciences (PNAS, 2025). 4.8% property value </w:t>
      </w:r>
      <w:proofErr w:type="gramStart"/>
      <w:r>
        <w:rPr>
          <w:sz w:val="19"/>
          <w:szCs w:val="19"/>
        </w:rPr>
        <w:t>decline</w:t>
      </w:r>
      <w:proofErr w:type="gramEnd"/>
      <w:r>
        <w:rPr>
          <w:sz w:val="19"/>
          <w:szCs w:val="19"/>
        </w:rPr>
        <w:t xml:space="preserve"> within 3 miles of utility-scale solar.</w:t>
      </w:r>
    </w:p>
    <w:p w14:paraId="60334806" w14:textId="77777777" w:rsidR="00D11E5F" w:rsidRDefault="00000000">
      <w:pPr>
        <w:spacing w:after="60"/>
      </w:pPr>
      <w:r>
        <w:rPr>
          <w:sz w:val="19"/>
          <w:szCs w:val="19"/>
        </w:rPr>
        <w:t>[7a] Hoen, B. et al., Lawrence Berkeley National Laboratory (LBNL, 2023). 1.5–5.8% property value declines; effects concentrate in rural, agricultural settings.</w:t>
      </w:r>
    </w:p>
    <w:p w14:paraId="2A5EEC97" w14:textId="77777777" w:rsidR="00D11E5F" w:rsidRDefault="00000000">
      <w:pPr>
        <w:spacing w:after="60"/>
      </w:pPr>
      <w:r>
        <w:rPr>
          <w:sz w:val="19"/>
          <w:szCs w:val="19"/>
        </w:rPr>
        <w:t>[16] Environmental Science &amp; Technology (2022). Global assessment confirming compaction-related agricultural yield losses are significant and persistent.</w:t>
      </w:r>
    </w:p>
    <w:p w14:paraId="16A7319A" w14:textId="77777777" w:rsidR="00D11E5F" w:rsidRDefault="00000000">
      <w:pPr>
        <w:pStyle w:val="Heading2"/>
      </w:pPr>
      <w:r>
        <w:t>State Legislation and Policy</w:t>
      </w:r>
    </w:p>
    <w:p w14:paraId="2726A522" w14:textId="77777777" w:rsidR="00D11E5F" w:rsidRDefault="00000000">
      <w:pPr>
        <w:spacing w:after="60"/>
      </w:pPr>
      <w:r>
        <w:rPr>
          <w:sz w:val="19"/>
          <w:szCs w:val="19"/>
        </w:rPr>
        <w:t>[12] Idaho SB 1133 (signed April 1, 2025). Amends Agricultural Protection Area Act to prohibit solar/wind on APA-designated lands.</w:t>
      </w:r>
    </w:p>
    <w:p w14:paraId="1099C812" w14:textId="77777777" w:rsidR="00D11E5F" w:rsidRDefault="00000000">
      <w:pPr>
        <w:spacing w:after="60"/>
      </w:pPr>
      <w:r>
        <w:rPr>
          <w:sz w:val="19"/>
          <w:szCs w:val="19"/>
        </w:rPr>
        <w:t>[13] Idaho HCR032 (adopted March 16, 2026). Declares energy infrastructure harming agriculture, water, or rural communities “inconsistent with state policy.” Affirms local land use authority and agricultural protection as “paramount considerations.”</w:t>
      </w:r>
    </w:p>
    <w:p w14:paraId="769D0F49" w14:textId="77777777" w:rsidR="00D11E5F" w:rsidRDefault="00000000">
      <w:pPr>
        <w:spacing w:after="60"/>
      </w:pPr>
      <w:r>
        <w:rPr>
          <w:sz w:val="19"/>
          <w:szCs w:val="19"/>
        </w:rPr>
        <w:t>Idaho SB 1341 (2024). Updated ESPA Area of Common Ground Water Supply boundaries, reflecting tighter groundwater controls.</w:t>
      </w:r>
    </w:p>
    <w:p w14:paraId="02605EEE" w14:textId="77777777" w:rsidR="00D11E5F" w:rsidRDefault="00000000">
      <w:pPr>
        <w:pStyle w:val="Heading2"/>
      </w:pPr>
      <w:r>
        <w:t>Constitutional and Case Law</w:t>
      </w:r>
    </w:p>
    <w:p w14:paraId="46268A3B" w14:textId="77777777" w:rsidR="00D11E5F" w:rsidRDefault="00000000">
      <w:pPr>
        <w:spacing w:after="60"/>
      </w:pPr>
      <w:r>
        <w:rPr>
          <w:sz w:val="19"/>
          <w:szCs w:val="19"/>
        </w:rPr>
        <w:t>[6] Village of Euclid v. Ambler Realty Co., 272 U.S. 365 (1926). Established constitutionality of zoning under the police power.</w:t>
      </w:r>
    </w:p>
    <w:p w14:paraId="4F91D4FF" w14:textId="77777777" w:rsidR="00D11E5F" w:rsidRDefault="00000000">
      <w:pPr>
        <w:spacing w:after="60"/>
      </w:pPr>
      <w:r>
        <w:rPr>
          <w:sz w:val="19"/>
          <w:szCs w:val="19"/>
        </w:rPr>
        <w:t xml:space="preserve">[7] Penn Central Transportation Co. v. City of New York, 438 U.S. 104 (1978). Three-factor </w:t>
      </w:r>
      <w:proofErr w:type="gramStart"/>
      <w:r>
        <w:rPr>
          <w:sz w:val="19"/>
          <w:szCs w:val="19"/>
        </w:rPr>
        <w:t>takings</w:t>
      </w:r>
      <w:proofErr w:type="gramEnd"/>
      <w:r>
        <w:rPr>
          <w:sz w:val="19"/>
          <w:szCs w:val="19"/>
        </w:rPr>
        <w:t xml:space="preserve"> test; no vested right in maximizing property value.</w:t>
      </w:r>
    </w:p>
    <w:p w14:paraId="28A52A22" w14:textId="77777777" w:rsidR="00D11E5F" w:rsidRDefault="00000000">
      <w:pPr>
        <w:spacing w:after="60"/>
      </w:pPr>
      <w:r>
        <w:rPr>
          <w:sz w:val="19"/>
          <w:szCs w:val="19"/>
        </w:rPr>
        <w:t>Nollan v. California Coastal Commission, 483 U.S. 825 (1987). “Nexus” requirement for conditions on development.</w:t>
      </w:r>
    </w:p>
    <w:p w14:paraId="634E189D" w14:textId="77777777" w:rsidR="00D11E5F" w:rsidRDefault="00000000">
      <w:pPr>
        <w:spacing w:after="60"/>
      </w:pPr>
      <w:r>
        <w:rPr>
          <w:sz w:val="19"/>
          <w:szCs w:val="19"/>
        </w:rPr>
        <w:t>Dolan v. City of Tigard, 512 U.S. 374 (1994). “Rough proportionality” requirement for conditions.</w:t>
      </w:r>
    </w:p>
    <w:p w14:paraId="46133D11" w14:textId="77777777" w:rsidR="00D11E5F" w:rsidRDefault="00000000">
      <w:pPr>
        <w:pStyle w:val="Heading2"/>
      </w:pPr>
      <w:r>
        <w:t>BESS Fire Incidents and Safety Data</w:t>
      </w:r>
    </w:p>
    <w:p w14:paraId="6B1A7C95" w14:textId="77777777" w:rsidR="00D11E5F" w:rsidRDefault="00000000">
      <w:pPr>
        <w:spacing w:after="60"/>
      </w:pPr>
      <w:r>
        <w:rPr>
          <w:sz w:val="19"/>
          <w:szCs w:val="19"/>
        </w:rPr>
        <w:t xml:space="preserve">[S1] Moss Landing BESS Fire, Monterey County, CA (January 2025). World’s largest BESS; 55,000 </w:t>
      </w:r>
      <w:proofErr w:type="spellStart"/>
      <w:r>
        <w:rPr>
          <w:sz w:val="19"/>
          <w:szCs w:val="19"/>
        </w:rPr>
        <w:t>lbs</w:t>
      </w:r>
      <w:proofErr w:type="spellEnd"/>
      <w:r>
        <w:rPr>
          <w:sz w:val="19"/>
          <w:szCs w:val="19"/>
        </w:rPr>
        <w:t xml:space="preserve"> toxic metals across wetlands; 1,500 evacuated; reignited one month later; cobalt/manganese exceeding child safety thresholds.</w:t>
      </w:r>
    </w:p>
    <w:p w14:paraId="722A3DF0" w14:textId="77777777" w:rsidR="00D11E5F" w:rsidRDefault="00000000">
      <w:pPr>
        <w:spacing w:after="60"/>
      </w:pPr>
      <w:r>
        <w:rPr>
          <w:sz w:val="19"/>
          <w:szCs w:val="19"/>
        </w:rPr>
        <w:lastRenderedPageBreak/>
        <w:t>[S2] NextEra East Hampton BESS Fire, NY (May 2023). Roads closed, trains halted, one year to rebuild. NextEra’s Jeffery Collins testified about BESS safety without disclosing this incident.</w:t>
      </w:r>
    </w:p>
    <w:p w14:paraId="599709E9" w14:textId="77777777" w:rsidR="00D11E5F" w:rsidRDefault="00000000">
      <w:pPr>
        <w:spacing w:after="60"/>
      </w:pPr>
      <w:r>
        <w:rPr>
          <w:sz w:val="19"/>
          <w:szCs w:val="19"/>
        </w:rPr>
        <w:t xml:space="preserve">[S3] McMicken BESS Explosion, Surprise, AZ (April 2019). Four firefighters </w:t>
      </w:r>
      <w:proofErr w:type="gramStart"/>
      <w:r>
        <w:rPr>
          <w:sz w:val="19"/>
          <w:szCs w:val="19"/>
        </w:rPr>
        <w:t>injured</w:t>
      </w:r>
      <w:proofErr w:type="gramEnd"/>
      <w:r>
        <w:rPr>
          <w:sz w:val="19"/>
          <w:szCs w:val="19"/>
        </w:rPr>
        <w:t xml:space="preserve">: traumatic brain injuries, broken bones, burns. Fire captain </w:t>
      </w:r>
      <w:proofErr w:type="gramStart"/>
      <w:r>
        <w:rPr>
          <w:sz w:val="19"/>
          <w:szCs w:val="19"/>
        </w:rPr>
        <w:t>thrown</w:t>
      </w:r>
      <w:proofErr w:type="gramEnd"/>
      <w:r>
        <w:rPr>
          <w:sz w:val="19"/>
          <w:szCs w:val="19"/>
        </w:rPr>
        <w:t xml:space="preserve"> 70 feet.</w:t>
      </w:r>
    </w:p>
    <w:p w14:paraId="126414E0" w14:textId="77777777" w:rsidR="00D11E5F" w:rsidRDefault="00000000">
      <w:pPr>
        <w:spacing w:after="60"/>
      </w:pPr>
      <w:r>
        <w:rPr>
          <w:sz w:val="19"/>
          <w:szCs w:val="19"/>
        </w:rPr>
        <w:t>[S4] EPRI/DOE BESS Failure and Safety Database. Ongoing documentation of BESS thermal runaway events, BMS failures, and controls/integration failures (65% of incidents).</w:t>
      </w:r>
    </w:p>
    <w:p w14:paraId="24819810" w14:textId="77777777" w:rsidR="00D11E5F" w:rsidRDefault="00000000">
      <w:pPr>
        <w:pStyle w:val="Heading2"/>
      </w:pPr>
      <w:r>
        <w:t>Corporate Ownership and Financial Data</w:t>
      </w:r>
    </w:p>
    <w:p w14:paraId="1AB36A9E" w14:textId="77777777" w:rsidR="00D11E5F" w:rsidRDefault="00000000">
      <w:pPr>
        <w:spacing w:after="60"/>
      </w:pPr>
      <w:r>
        <w:rPr>
          <w:sz w:val="19"/>
          <w:szCs w:val="19"/>
        </w:rPr>
        <w:t>[S5] BlackRock institutional ownership: ~12% of IDACORP/Idaho Power; ~5–7% of NextEra Energy. SEC filings (13F). Undisclosed conflict of interest in Idaho Power testimony opposing regulation of NextEra projects.</w:t>
      </w:r>
    </w:p>
    <w:p w14:paraId="700DE9D7" w14:textId="77777777" w:rsidR="00D11E5F" w:rsidRDefault="00000000">
      <w:pPr>
        <w:spacing w:after="60"/>
      </w:pPr>
      <w:r>
        <w:rPr>
          <w:sz w:val="19"/>
          <w:szCs w:val="19"/>
        </w:rPr>
        <w:t>[S6] Goldman Sachs, “Middle-class Americans are paying for the data center and AI boom” (February 2026). Electricity prices surged 7% in 2025; record $31B rate increase requests; projected 6% electricity inflation 2026–2027.</w:t>
      </w:r>
    </w:p>
    <w:p w14:paraId="60D0D105" w14:textId="77777777" w:rsidR="00D11E5F" w:rsidRDefault="00000000">
      <w:pPr>
        <w:spacing w:after="60"/>
      </w:pPr>
      <w:r>
        <w:rPr>
          <w:sz w:val="19"/>
          <w:szCs w:val="19"/>
        </w:rPr>
        <w:t>[S7] S&amp;P Global Market Intelligence, Regulatory Research Associates (2025). Utilities requested $29B+ in rate increases in first half of 2025, double the prior year.</w:t>
      </w:r>
    </w:p>
    <w:p w14:paraId="45EF86A8" w14:textId="77777777" w:rsidR="00D11E5F" w:rsidRDefault="00000000">
      <w:pPr>
        <w:spacing w:after="60"/>
      </w:pPr>
      <w:r>
        <w:rPr>
          <w:sz w:val="19"/>
          <w:szCs w:val="19"/>
        </w:rPr>
        <w:t>[S8] PJM Interconnection, 2025–26 Base Residual Auction. Data centers accounted for estimated $9.3B capacity market price increase. Residential bills: +$18/month MD, +$16/month OH.</w:t>
      </w:r>
    </w:p>
    <w:p w14:paraId="110DACB5" w14:textId="77777777" w:rsidR="00D11E5F" w:rsidRDefault="00000000">
      <w:pPr>
        <w:pStyle w:val="Heading2"/>
      </w:pPr>
      <w:r>
        <w:t>Community and County-Level Data</w:t>
      </w:r>
    </w:p>
    <w:p w14:paraId="54A74EC7" w14:textId="77777777" w:rsidR="00D11E5F" w:rsidRDefault="00000000">
      <w:pPr>
        <w:spacing w:after="60"/>
      </w:pPr>
      <w:r>
        <w:rPr>
          <w:sz w:val="19"/>
          <w:szCs w:val="19"/>
        </w:rPr>
        <w:t xml:space="preserve">[15] </w:t>
      </w:r>
      <w:proofErr w:type="spellStart"/>
      <w:r>
        <w:rPr>
          <w:sz w:val="19"/>
          <w:szCs w:val="19"/>
        </w:rPr>
        <w:t>JTown</w:t>
      </w:r>
      <w:proofErr w:type="spellEnd"/>
      <w:r>
        <w:rPr>
          <w:sz w:val="19"/>
          <w:szCs w:val="19"/>
        </w:rPr>
        <w:t xml:space="preserve"> Beacon Community Survey (March 2026, 65 respondents). 93.8% prioritize ag preservation; 93.7% oppose large-scale energy in ag zones; 92.3% concerned about BESS safety; 90.8% support county-wide notification; 87.7% favor limiting energy development to protect farmland; 80% say current approach needs significant revision.</w:t>
      </w:r>
    </w:p>
    <w:p w14:paraId="31861CE2" w14:textId="77777777" w:rsidR="00D11E5F" w:rsidRDefault="00000000">
      <w:pPr>
        <w:spacing w:after="60"/>
      </w:pPr>
      <w:r>
        <w:rPr>
          <w:sz w:val="19"/>
          <w:szCs w:val="19"/>
        </w:rPr>
        <w:t>Jerome County P&amp;Z Commission Minutes, January 26, 2026. Record of the three votes and all industry testimony analyzed in this document.</w:t>
      </w:r>
    </w:p>
    <w:p w14:paraId="010ED5DC" w14:textId="77777777" w:rsidR="00D11E5F" w:rsidRDefault="00000000">
      <w:pPr>
        <w:spacing w:after="60"/>
      </w:pPr>
      <w:r>
        <w:rPr>
          <w:sz w:val="19"/>
          <w:szCs w:val="19"/>
        </w:rPr>
        <w:t>Jerome County Comprehensive Plan. Identifies agriculture as the county’s most valuable resource.</w:t>
      </w:r>
    </w:p>
    <w:p w14:paraId="312EFE8A" w14:textId="77777777" w:rsidR="00D11E5F" w:rsidRDefault="00000000">
      <w:pPr>
        <w:spacing w:after="60"/>
      </w:pPr>
      <w:r>
        <w:rPr>
          <w:sz w:val="19"/>
          <w:szCs w:val="19"/>
        </w:rPr>
        <w:t xml:space="preserve">National precedents: Cecil County, MD; Montgomery County, MD; Bannock County, ID — all have adopted categorical prohibitions or bans on energy </w:t>
      </w:r>
      <w:proofErr w:type="gramStart"/>
      <w:r>
        <w:rPr>
          <w:sz w:val="19"/>
          <w:szCs w:val="19"/>
        </w:rPr>
        <w:t>facility</w:t>
      </w:r>
      <w:proofErr w:type="gramEnd"/>
      <w:r>
        <w:rPr>
          <w:sz w:val="19"/>
          <w:szCs w:val="19"/>
        </w:rPr>
        <w:t xml:space="preserve"> </w:t>
      </w:r>
      <w:proofErr w:type="gramStart"/>
      <w:r>
        <w:rPr>
          <w:sz w:val="19"/>
          <w:szCs w:val="19"/>
        </w:rPr>
        <w:t>siting</w:t>
      </w:r>
      <w:proofErr w:type="gramEnd"/>
      <w:r>
        <w:rPr>
          <w:sz w:val="19"/>
          <w:szCs w:val="19"/>
        </w:rPr>
        <w:t xml:space="preserve"> on agricultural land.</w:t>
      </w:r>
    </w:p>
    <w:p w14:paraId="72E7AEA6" w14:textId="77777777" w:rsidR="00D11E5F" w:rsidRDefault="00000000">
      <w:pPr>
        <w:pBdr>
          <w:top w:val="single" w:sz="6" w:space="8" w:color="2E75B6"/>
        </w:pBdr>
        <w:spacing w:before="400" w:after="200"/>
      </w:pPr>
      <w:r>
        <w:rPr>
          <w:i/>
          <w:iCs/>
          <w:color w:val="444444"/>
          <w:sz w:val="20"/>
          <w:szCs w:val="20"/>
        </w:rPr>
        <w:t>This analysis was prepared from publicly available sources, peer-reviewed research, federal and state government publications, corporate SEC filings, and the official minutes of the Jerome County P&amp;Z Commission hearing of January 26, 2026. Every factual assertion is cited. Every rating is supported by evidence in the public record.</w:t>
      </w:r>
    </w:p>
    <w:p w14:paraId="3D241CB0" w14:textId="77777777" w:rsidR="00D11E5F" w:rsidRDefault="00000000">
      <w:pPr>
        <w:spacing w:before="200"/>
        <w:jc w:val="center"/>
      </w:pPr>
      <w:r>
        <w:rPr>
          <w:color w:val="666666"/>
          <w:sz w:val="20"/>
          <w:szCs w:val="20"/>
        </w:rPr>
        <w:t>Prepared by Jeff Pierson • Confidential Solutions LLC • Jerome, Idaho • March 25, 2026</w:t>
      </w:r>
    </w:p>
    <w:sectPr w:rsidR="00D11E5F">
      <w:headerReference w:type="default" r:id="rId7"/>
      <w:footerReference w:type="default" r:id="rId8"/>
      <w:pgSz w:w="12240" w:h="158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8A63F" w14:textId="77777777" w:rsidR="00CD0A95" w:rsidRDefault="00CD0A95">
      <w:r>
        <w:separator/>
      </w:r>
    </w:p>
  </w:endnote>
  <w:endnote w:type="continuationSeparator" w:id="0">
    <w:p w14:paraId="0C0B942F" w14:textId="77777777" w:rsidR="00CD0A95" w:rsidRDefault="00CD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569B" w14:textId="5E3E686A" w:rsidR="00D11E5F" w:rsidRDefault="00000000">
    <w:pPr>
      <w:pBdr>
        <w:top w:val="single" w:sz="4" w:space="1" w:color="CCCCCC"/>
      </w:pBdr>
    </w:pPr>
    <w:r>
      <w:rPr>
        <w:color w:val="999999"/>
        <w:sz w:val="14"/>
        <w:szCs w:val="14"/>
      </w:rPr>
      <w:t xml:space="preserve">Prepared by Jeff Pierson — Confidential Solutions LLC — Page </w:t>
    </w:r>
    <w:r>
      <w:rPr>
        <w:color w:val="999999"/>
        <w:sz w:val="14"/>
        <w:szCs w:val="14"/>
      </w:rPr>
      <w:fldChar w:fldCharType="begin"/>
    </w:r>
    <w:r>
      <w:rPr>
        <w:color w:val="999999"/>
        <w:sz w:val="14"/>
        <w:szCs w:val="14"/>
      </w:rPr>
      <w:instrText>PAGE</w:instrText>
    </w:r>
    <w:r>
      <w:rPr>
        <w:color w:val="999999"/>
        <w:sz w:val="14"/>
        <w:szCs w:val="14"/>
      </w:rPr>
      <w:fldChar w:fldCharType="separate"/>
    </w:r>
    <w:r w:rsidR="0061495A">
      <w:rPr>
        <w:noProof/>
        <w:color w:val="999999"/>
        <w:sz w:val="14"/>
        <w:szCs w:val="14"/>
      </w:rPr>
      <w:t>2</w:t>
    </w:r>
    <w:r>
      <w:rPr>
        <w:color w:val="99999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99FD" w14:textId="77777777" w:rsidR="00CD0A95" w:rsidRDefault="00CD0A95">
      <w:r>
        <w:separator/>
      </w:r>
    </w:p>
  </w:footnote>
  <w:footnote w:type="continuationSeparator" w:id="0">
    <w:p w14:paraId="5E04C327" w14:textId="77777777" w:rsidR="00CD0A95" w:rsidRDefault="00CD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0166" w14:textId="77777777" w:rsidR="00D11E5F" w:rsidRDefault="00000000">
    <w:pPr>
      <w:pBdr>
        <w:bottom w:val="single" w:sz="6" w:space="1" w:color="2E75B6"/>
      </w:pBdr>
      <w:spacing w:after="120"/>
    </w:pPr>
    <w:r>
      <w:rPr>
        <w:color w:val="999999"/>
        <w:sz w:val="16"/>
        <w:szCs w:val="16"/>
      </w:rPr>
      <w:t>Side-by-Side Rebuttal — Industry Testimony vs. Factual Record — Jerome County P&amp;Z, January 26,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16A2A"/>
    <w:multiLevelType w:val="hybridMultilevel"/>
    <w:tmpl w:val="251CFA40"/>
    <w:lvl w:ilvl="0" w:tplc="076E4460">
      <w:start w:val="1"/>
      <w:numFmt w:val="bullet"/>
      <w:lvlText w:val="●"/>
      <w:lvlJc w:val="left"/>
      <w:pPr>
        <w:ind w:left="720" w:hanging="360"/>
      </w:pPr>
    </w:lvl>
    <w:lvl w:ilvl="1" w:tplc="7C0EA998">
      <w:start w:val="1"/>
      <w:numFmt w:val="bullet"/>
      <w:lvlText w:val="○"/>
      <w:lvlJc w:val="left"/>
      <w:pPr>
        <w:ind w:left="1440" w:hanging="360"/>
      </w:pPr>
    </w:lvl>
    <w:lvl w:ilvl="2" w:tplc="DF125C38">
      <w:start w:val="1"/>
      <w:numFmt w:val="bullet"/>
      <w:lvlText w:val="■"/>
      <w:lvlJc w:val="left"/>
      <w:pPr>
        <w:ind w:left="2160" w:hanging="360"/>
      </w:pPr>
    </w:lvl>
    <w:lvl w:ilvl="3" w:tplc="40E896DC">
      <w:start w:val="1"/>
      <w:numFmt w:val="bullet"/>
      <w:lvlText w:val="●"/>
      <w:lvlJc w:val="left"/>
      <w:pPr>
        <w:ind w:left="2880" w:hanging="360"/>
      </w:pPr>
    </w:lvl>
    <w:lvl w:ilvl="4" w:tplc="F1CCA6A8">
      <w:start w:val="1"/>
      <w:numFmt w:val="bullet"/>
      <w:lvlText w:val="○"/>
      <w:lvlJc w:val="left"/>
      <w:pPr>
        <w:ind w:left="3600" w:hanging="360"/>
      </w:pPr>
    </w:lvl>
    <w:lvl w:ilvl="5" w:tplc="E442549C">
      <w:start w:val="1"/>
      <w:numFmt w:val="bullet"/>
      <w:lvlText w:val="■"/>
      <w:lvlJc w:val="left"/>
      <w:pPr>
        <w:ind w:left="4320" w:hanging="360"/>
      </w:pPr>
    </w:lvl>
    <w:lvl w:ilvl="6" w:tplc="5F469544">
      <w:start w:val="1"/>
      <w:numFmt w:val="bullet"/>
      <w:lvlText w:val="●"/>
      <w:lvlJc w:val="left"/>
      <w:pPr>
        <w:ind w:left="5040" w:hanging="360"/>
      </w:pPr>
    </w:lvl>
    <w:lvl w:ilvl="7" w:tplc="D10C494A">
      <w:start w:val="1"/>
      <w:numFmt w:val="bullet"/>
      <w:lvlText w:val="●"/>
      <w:lvlJc w:val="left"/>
      <w:pPr>
        <w:ind w:left="5760" w:hanging="360"/>
      </w:pPr>
    </w:lvl>
    <w:lvl w:ilvl="8" w:tplc="29225C5C">
      <w:start w:val="1"/>
      <w:numFmt w:val="bullet"/>
      <w:lvlText w:val="●"/>
      <w:lvlJc w:val="left"/>
      <w:pPr>
        <w:ind w:left="6480" w:hanging="360"/>
      </w:pPr>
    </w:lvl>
  </w:abstractNum>
  <w:abstractNum w:abstractNumId="1" w15:restartNumberingAfterBreak="0">
    <w:nsid w:val="56A94C49"/>
    <w:multiLevelType w:val="hybridMultilevel"/>
    <w:tmpl w:val="B756F888"/>
    <w:lvl w:ilvl="0" w:tplc="2350FAF2">
      <w:start w:val="1"/>
      <w:numFmt w:val="decimal"/>
      <w:lvlText w:val="[%1]"/>
      <w:lvlJc w:val="left"/>
      <w:pPr>
        <w:ind w:left="360" w:hanging="360"/>
      </w:pPr>
    </w:lvl>
    <w:lvl w:ilvl="1" w:tplc="B04836CA">
      <w:numFmt w:val="decimal"/>
      <w:lvlText w:val=""/>
      <w:lvlJc w:val="left"/>
    </w:lvl>
    <w:lvl w:ilvl="2" w:tplc="2AF8C378">
      <w:numFmt w:val="decimal"/>
      <w:lvlText w:val=""/>
      <w:lvlJc w:val="left"/>
    </w:lvl>
    <w:lvl w:ilvl="3" w:tplc="65A84E40">
      <w:numFmt w:val="decimal"/>
      <w:lvlText w:val=""/>
      <w:lvlJc w:val="left"/>
    </w:lvl>
    <w:lvl w:ilvl="4" w:tplc="4E7A1E56">
      <w:numFmt w:val="decimal"/>
      <w:lvlText w:val=""/>
      <w:lvlJc w:val="left"/>
    </w:lvl>
    <w:lvl w:ilvl="5" w:tplc="52447274">
      <w:numFmt w:val="decimal"/>
      <w:lvlText w:val=""/>
      <w:lvlJc w:val="left"/>
    </w:lvl>
    <w:lvl w:ilvl="6" w:tplc="3F5C3E86">
      <w:numFmt w:val="decimal"/>
      <w:lvlText w:val=""/>
      <w:lvlJc w:val="left"/>
    </w:lvl>
    <w:lvl w:ilvl="7" w:tplc="2D5EC87A">
      <w:numFmt w:val="decimal"/>
      <w:lvlText w:val=""/>
      <w:lvlJc w:val="left"/>
    </w:lvl>
    <w:lvl w:ilvl="8" w:tplc="6D6058A0">
      <w:numFmt w:val="decimal"/>
      <w:lvlText w:val=""/>
      <w:lvlJc w:val="left"/>
    </w:lvl>
  </w:abstractNum>
  <w:num w:numId="1" w16cid:durableId="2189047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E5F"/>
    <w:rsid w:val="0061495A"/>
    <w:rsid w:val="00881915"/>
    <w:rsid w:val="00CD0A95"/>
    <w:rsid w:val="00D11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5757"/>
  <w15:docId w15:val="{4D66A9D7-4C8C-4B2B-86FB-C46B2AD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B3A5C"/>
      <w:sz w:val="32"/>
      <w:szCs w:val="32"/>
    </w:rPr>
  </w:style>
  <w:style w:type="paragraph" w:styleId="Heading2">
    <w:name w:val="heading 2"/>
    <w:uiPriority w:val="9"/>
    <w:unhideWhenUsed/>
    <w:qFormat/>
    <w:pPr>
      <w:spacing w:before="240" w:after="160"/>
      <w:outlineLvl w:val="1"/>
    </w:pPr>
    <w:rPr>
      <w:b/>
      <w:bCs/>
      <w:color w:val="2E75B6"/>
      <w:sz w:val="26"/>
      <w:szCs w:val="26"/>
    </w:rPr>
  </w:style>
  <w:style w:type="paragraph" w:styleId="Heading3">
    <w:name w:val="heading 3"/>
    <w:uiPriority w:val="9"/>
    <w:semiHidden/>
    <w:unhideWhenUsed/>
    <w:qFormat/>
    <w:pPr>
      <w:spacing w:before="200" w:after="120"/>
      <w:outlineLvl w:val="2"/>
    </w:pPr>
    <w:rPr>
      <w:b/>
      <w:bCs/>
      <w:color w:val="1B3A5C"/>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3986</Words>
  <Characters>23239</Characters>
  <Application>Microsoft Office Word</Application>
  <DocSecurity>0</DocSecurity>
  <Lines>430</Lines>
  <Paragraphs>175</Paragraphs>
  <ScaleCrop>false</ScaleCrop>
  <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 Pierson</cp:lastModifiedBy>
  <cp:revision>2</cp:revision>
  <dcterms:created xsi:type="dcterms:W3CDTF">2026-03-25T09:29:00Z</dcterms:created>
  <dcterms:modified xsi:type="dcterms:W3CDTF">2026-03-25T09:29:00Z</dcterms:modified>
</cp:coreProperties>
</file>