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00"/>
        <w:jc w:val="center"/>
      </w:pPr>
      <w:r>
        <w:rPr>
          <w:rFonts w:ascii="Arial" w:cs="Arial" w:eastAsia="Arial" w:hAnsi="Arial"/>
          <w:b/>
          <w:bCs/>
          <w:i w:val="false"/>
          <w:iCs w:val="false"/>
          <w:color w:val="1F3864"/>
          <w:sz w:val="36"/>
          <w:szCs w:val="36"/>
        </w:rPr>
        <w:t xml:space="preserve">JEROME COUNTY ENERGY ORDINANCE REFORM</w:t>
      </w:r>
    </w:p>
    <w:p>
      <w:pPr>
        <w:spacing w:after="80" w:before="0" w:line="300"/>
        <w:jc w:val="center"/>
      </w:pPr>
      <w:r>
        <w:rPr>
          <w:rFonts w:ascii="Arial" w:cs="Arial" w:eastAsia="Arial" w:hAnsi="Arial"/>
          <w:b/>
          <w:bCs/>
          <w:i w:val="false"/>
          <w:iCs w:val="false"/>
          <w:color w:val="2E75B6"/>
          <w:sz w:val="26"/>
          <w:szCs w:val="26"/>
        </w:rPr>
        <w:t xml:space="preserve">The Unnecessary Data Center Boom: How Speculative Infrastructure Is Creating a National Crisis</w:t>
      </w:r>
    </w:p>
    <w:p>
      <w:pPr>
        <w:pBdr>
          <w:bottom w:val="single" w:color="2E75B6" w:sz="8" w:space="1"/>
        </w:pBdr>
        <w:spacing w:after="80"/>
        <w:jc w:val="center"/>
      </w:pPr>
    </w:p>
    <w:p>
      <w:pPr>
        <w:spacing w:after="300" w:before="0" w:line="300"/>
        <w:jc w:val="center"/>
      </w:pPr>
      <w:r>
        <w:rPr>
          <w:rFonts w:ascii="Arial" w:cs="Arial" w:eastAsia="Arial" w:hAnsi="Arial"/>
          <w:b w:val="false"/>
          <w:bCs w:val="false"/>
          <w:i/>
          <w:iCs/>
          <w:color w:val="666666"/>
          <w:sz w:val="20"/>
          <w:szCs w:val="20"/>
        </w:rPr>
        <w:t xml:space="preserve">Jeff Pierson  |  Confidential Solutions LLC  |  713 East Ave C, Jerome, Idaho  |  March 2026</w:t>
      </w:r>
    </w:p>
    <w:p>
      <w:pPr>
        <w:spacing w:after="250" w:before="0" w:line="300"/>
      </w:pPr>
      <w:r>
        <w:rPr>
          <w:rFonts w:ascii="Arial" w:cs="Arial" w:eastAsia="Arial" w:hAnsi="Arial"/>
          <w:b w:val="false"/>
          <w:bCs w:val="false"/>
          <w:i w:val="false"/>
          <w:iCs w:val="false"/>
          <w:sz w:val="22"/>
          <w:szCs w:val="22"/>
        </w:rPr>
        <w:t xml:space="preserve">This position paper documents how the data center construction boom of 2024–2026 has become an infrastructure crisis driven by speculative capital, inflated demand projections, and the systematic externalization of costs onto rural communities, ratepayers, and agricultural resources. The evidence—drawn from Goldman Sachs, Yale University, Sightline Climate, the Brookings Institution, EPRI, and industry tracking data—demonstrates that the current pace of data center construction is </w:t>
      </w:r>
      <w:r>
        <w:rPr>
          <w:rFonts w:ascii="Arial" w:cs="Arial" w:eastAsia="Arial" w:hAnsi="Arial"/>
          <w:b/>
          <w:bCs/>
          <w:sz w:val="22"/>
          <w:szCs w:val="22"/>
        </w:rPr>
        <w:t xml:space="preserve">neither necessary nor sustainable</w:t>
      </w:r>
      <w:r>
        <w:rPr>
          <w:rFonts w:ascii="Arial" w:cs="Arial" w:eastAsia="Arial" w:hAnsi="Arial"/>
          <w:b w:val="false"/>
          <w:bCs w:val="false"/>
          <w:i w:val="false"/>
          <w:iCs w:val="false"/>
          <w:sz w:val="22"/>
          <w:szCs w:val="22"/>
        </w:rPr>
        <w:t xml:space="preserve">, and that the communities being asked to absorb these facilities bear the costs while receiving few of the benefits.</w:t>
      </w:r>
    </w:p>
    <w:p>
      <w:pPr>
        <w:spacing w:after="200" w:before="300" w:line="300"/>
      </w:pPr>
      <w:r>
        <w:rPr>
          <w:rFonts w:ascii="Arial" w:cs="Arial" w:eastAsia="Arial" w:hAnsi="Arial"/>
          <w:b/>
          <w:bCs/>
          <w:i w:val="false"/>
          <w:iCs w:val="false"/>
          <w:color w:val="1F3864"/>
          <w:sz w:val="28"/>
          <w:szCs w:val="28"/>
        </w:rPr>
        <w:t xml:space="preserve">I. The Scale of the Boom: Investment Untethered from Demand</w:t>
      </w:r>
    </w:p>
    <w:p>
      <w:pPr>
        <w:spacing w:after="160" w:before="0" w:line="300"/>
      </w:pPr>
      <w:r>
        <w:rPr>
          <w:rFonts w:ascii="Arial" w:cs="Arial" w:eastAsia="Arial" w:hAnsi="Arial"/>
          <w:b w:val="false"/>
          <w:bCs w:val="false"/>
          <w:i w:val="false"/>
          <w:iCs w:val="false"/>
          <w:sz w:val="22"/>
          <w:szCs w:val="22"/>
        </w:rPr>
        <w:t xml:space="preserve">The numbers are staggering. Alphabet, Microsoft, Meta, and Amazon are projected to spend </w:t>
      </w:r>
      <w:r>
        <w:rPr>
          <w:rFonts w:ascii="Arial" w:cs="Arial" w:eastAsia="Arial" w:hAnsi="Arial"/>
          <w:b/>
          <w:bCs/>
          <w:sz w:val="22"/>
          <w:szCs w:val="22"/>
        </w:rPr>
        <w:t xml:space="preserve">$700 billion on AI infrastructure buildouts in 2026 alone</w:t>
      </w:r>
      <w:r>
        <w:rPr>
          <w:rFonts w:ascii="Arial" w:cs="Arial" w:eastAsia="Arial" w:hAnsi="Arial"/>
          <w:b w:val="false"/>
          <w:bCs w:val="false"/>
          <w:i w:val="false"/>
          <w:iCs w:val="false"/>
          <w:sz w:val="22"/>
          <w:szCs w:val="22"/>
        </w:rPr>
        <w:t xml:space="preserve">—exceeding the entire GDP of countries like Sweden or Poland. AI-related capital expenditure has surpassed U.S. consumer spending as the primary driver of GDP growth, contributing 1.1% in the first half of 2025. Globally, $193 billion was directed to AI startups in 2025, a new record, with over 50% of global venture capital dollars chasing the AI sector.</w:t>
      </w:r>
    </w:p>
    <w:p>
      <w:pPr>
        <w:spacing w:after="120" w:before="0" w:line="300"/>
        <w:ind w:left="720"/>
      </w:pPr>
      <w:r>
        <w:rPr>
          <w:rFonts w:ascii="Arial" w:cs="Arial" w:eastAsia="Arial" w:hAnsi="Arial"/>
          <w:b w:val="false"/>
          <w:bCs w:val="false"/>
          <w:i/>
          <w:iCs/>
          <w:sz w:val="20"/>
          <w:szCs w:val="20"/>
        </w:rPr>
        <w:t xml:space="preserve">Goldman Sachs, "Why AI Companies May Invest More than $500 Billion in 2026," 2026; IEEE ComSoc Technology Blog, "AI Spending Boom Accelerates," November 2025.</w:t>
      </w:r>
    </w:p>
    <w:p>
      <w:pPr>
        <w:spacing w:after="160" w:before="0" w:line="300"/>
      </w:pPr>
      <w:r>
        <w:rPr>
          <w:rFonts w:ascii="Arial" w:cs="Arial" w:eastAsia="Arial" w:hAnsi="Arial"/>
          <w:b w:val="false"/>
          <w:bCs w:val="false"/>
          <w:i w:val="false"/>
          <w:iCs w:val="false"/>
          <w:sz w:val="22"/>
          <w:szCs w:val="22"/>
        </w:rPr>
        <w:t xml:space="preserve">Sightline Climate is tracking </w:t>
      </w:r>
      <w:r>
        <w:rPr>
          <w:rFonts w:ascii="Arial" w:cs="Arial" w:eastAsia="Arial" w:hAnsi="Arial"/>
          <w:b/>
          <w:bCs/>
          <w:sz w:val="22"/>
          <w:szCs w:val="22"/>
        </w:rPr>
        <w:t xml:space="preserve">190 GW across 777 large data centers and AI factories</w:t>
      </w:r>
      <w:r>
        <w:rPr>
          <w:rFonts w:ascii="Arial" w:cs="Arial" w:eastAsia="Arial" w:hAnsi="Arial"/>
          <w:b w:val="false"/>
          <w:bCs w:val="false"/>
          <w:i w:val="false"/>
          <w:iCs w:val="false"/>
          <w:sz w:val="22"/>
          <w:szCs w:val="22"/>
        </w:rPr>
        <w:t xml:space="preserve"> (&gt;50 MW each) announced since 2024. At least 16 GW of capacity is planned for 2026 globally—nearly triple the levels built the previous year. But </w:t>
      </w:r>
      <w:r>
        <w:rPr>
          <w:rFonts w:ascii="Arial" w:cs="Arial" w:eastAsia="Arial" w:hAnsi="Arial"/>
          <w:b/>
          <w:bCs/>
          <w:sz w:val="22"/>
          <w:szCs w:val="22"/>
        </w:rPr>
        <w:t xml:space="preserve">30–50% of the 2026 pipeline is unlikely to come online before the end of the year</w:t>
      </w:r>
      <w:r>
        <w:rPr>
          <w:rFonts w:ascii="Arial" w:cs="Arial" w:eastAsia="Arial" w:hAnsi="Arial"/>
          <w:b w:val="false"/>
          <w:bCs w:val="false"/>
          <w:i w:val="false"/>
          <w:iCs w:val="false"/>
          <w:sz w:val="22"/>
          <w:szCs w:val="22"/>
        </w:rPr>
        <w:t xml:space="preserve">, and up to 11 GW shows no signs of construction. With typical build times of 12–18 months, that capacity can only materialize with dramatic acceleration that the evidence does not support.</w:t>
      </w:r>
    </w:p>
    <w:p>
      <w:pPr>
        <w:spacing w:after="120" w:before="0" w:line="300"/>
        <w:ind w:left="720"/>
      </w:pPr>
      <w:r>
        <w:rPr>
          <w:rFonts w:ascii="Arial" w:cs="Arial" w:eastAsia="Arial" w:hAnsi="Arial"/>
          <w:b w:val="false"/>
          <w:bCs w:val="false"/>
          <w:i/>
          <w:iCs/>
          <w:sz w:val="20"/>
          <w:szCs w:val="20"/>
        </w:rPr>
        <w:t xml:space="preserve">Sightline Climate, "Data Center Outlook: Half of 2026 Pipeline May Not Materialize," 2026.</w:t>
      </w:r>
    </w:p>
    <w:p>
      <w:pPr>
        <w:spacing w:after="160" w:before="0" w:line="300"/>
      </w:pPr>
      <w:r>
        <w:rPr>
          <w:rFonts w:ascii="Arial" w:cs="Arial" w:eastAsia="Arial" w:hAnsi="Arial"/>
          <w:b w:val="false"/>
          <w:bCs w:val="false"/>
          <w:i w:val="false"/>
          <w:iCs w:val="false"/>
          <w:sz w:val="22"/>
          <w:szCs w:val="22"/>
        </w:rPr>
        <w:t xml:space="preserve">The question that industry boosters refuse to answer is simple: </w:t>
      </w:r>
      <w:r>
        <w:rPr>
          <w:rFonts w:ascii="Arial" w:cs="Arial" w:eastAsia="Arial" w:hAnsi="Arial"/>
          <w:b/>
          <w:bCs/>
          <w:sz w:val="22"/>
          <w:szCs w:val="22"/>
        </w:rPr>
        <w:t xml:space="preserve">who needs all of this capacity?</w:t>
      </w:r>
      <w:r>
        <w:rPr>
          <w:rFonts w:ascii="Arial" w:cs="Arial" w:eastAsia="Arial" w:hAnsi="Arial"/>
          <w:b w:val="false"/>
          <w:bCs w:val="false"/>
          <w:i w:val="false"/>
          <w:iCs w:val="false"/>
          <w:sz w:val="22"/>
          <w:szCs w:val="22"/>
        </w:rPr>
        <w:t xml:space="preserve"> An MIT study found that 95% of companies achieved zero return on their generative AI investments despite $30–40 billion in spending. McKinsey research confirms that most enterprise AI projects struggle to move beyond pilot phases to production deployment at scale. The most commonly reported AI revenue gains are in marketing and sales—specifically, optimizing advertising and customer acquisition. The infrastructure being built to support these applications is wildly disproportionate to their actual economic value.</w:t>
      </w:r>
    </w:p>
    <w:p>
      <w:pPr>
        <w:spacing w:after="120" w:before="0" w:line="300"/>
        <w:ind w:left="720"/>
      </w:pPr>
      <w:r>
        <w:rPr>
          <w:rFonts w:ascii="Arial" w:cs="Arial" w:eastAsia="Arial" w:hAnsi="Arial"/>
          <w:b w:val="false"/>
          <w:bCs w:val="false"/>
          <w:i/>
          <w:iCs/>
          <w:sz w:val="20"/>
          <w:szCs w:val="20"/>
        </w:rPr>
        <w:t xml:space="preserve">Yale School of Management, "This Is How the AI Bubble Bursts," 2025; McKinsey &amp; Company, Enterprise AI Deployment Analysis, 2025.</w:t>
      </w:r>
    </w:p>
    <w:p>
      <w:pPr>
        <w:pageBreakBefore/>
        <w:spacing w:after="0" w:before="0" w:line="300"/>
      </w:pPr>
      <w:r>
        <w:rPr>
          <w:rFonts w:ascii="Arial" w:cs="Arial" w:eastAsia="Arial" w:hAnsi="Arial"/>
          <w:b w:val="false"/>
          <w:bCs w:val="false"/>
          <w:i w:val="false"/>
          <w:iCs w:val="false"/>
          <w:sz w:val="22"/>
          <w:szCs w:val="22"/>
        </w:rPr>
        <w:t xml:space="preserve"/>
      </w:r>
    </w:p>
    <w:p>
      <w:pPr>
        <w:spacing w:after="200" w:before="300" w:line="300"/>
      </w:pPr>
      <w:r>
        <w:rPr>
          <w:rFonts w:ascii="Arial" w:cs="Arial" w:eastAsia="Arial" w:hAnsi="Arial"/>
          <w:b/>
          <w:bCs/>
          <w:i w:val="false"/>
          <w:iCs w:val="false"/>
          <w:color w:val="1F3864"/>
          <w:sz w:val="28"/>
          <w:szCs w:val="28"/>
        </w:rPr>
        <w:t xml:space="preserve">II. The Bubble Dynamics: Classic Signs of Speculative Overbuilding</w:t>
      </w:r>
    </w:p>
    <w:p>
      <w:pPr>
        <w:spacing w:after="160" w:before="0" w:line="300"/>
      </w:pPr>
      <w:r>
        <w:rPr>
          <w:rFonts w:ascii="Arial" w:cs="Arial" w:eastAsia="Arial" w:hAnsi="Arial"/>
          <w:b w:val="false"/>
          <w:bCs w:val="false"/>
          <w:i w:val="false"/>
          <w:iCs w:val="false"/>
          <w:sz w:val="22"/>
          <w:szCs w:val="22"/>
        </w:rPr>
        <w:t xml:space="preserve">The current data center boom exhibits every characteristic of a speculative bubble—and the people sounding the alarm are not activists or academics. They are the industry’s own leaders.</w:t>
      </w:r>
    </w:p>
    <w:p>
      <w:pPr>
        <w:spacing w:after="120" w:before="200" w:line="300"/>
      </w:pPr>
      <w:r>
        <w:rPr>
          <w:rFonts w:ascii="Arial" w:cs="Arial" w:eastAsia="Arial" w:hAnsi="Arial"/>
          <w:b/>
          <w:bCs/>
          <w:i w:val="false"/>
          <w:iCs w:val="false"/>
          <w:color w:val="2E75B6"/>
          <w:sz w:val="24"/>
          <w:szCs w:val="24"/>
        </w:rPr>
        <w:t xml:space="preserve">A. Industry Leaders Acknowledge the Risk</w:t>
      </w:r>
    </w:p>
    <w:p>
      <w:pPr>
        <w:spacing w:after="160" w:before="0" w:line="300"/>
      </w:pPr>
      <w:r>
        <w:rPr>
          <w:rFonts w:ascii="Arial" w:cs="Arial" w:eastAsia="Arial" w:hAnsi="Arial"/>
          <w:b/>
          <w:bCs/>
          <w:sz w:val="22"/>
          <w:szCs w:val="22"/>
        </w:rPr>
        <w:t xml:space="preserve">Goldman Sachs CEO David Solomon</w:t>
      </w:r>
      <w:r>
        <w:rPr>
          <w:rFonts w:ascii="Arial" w:cs="Arial" w:eastAsia="Arial" w:hAnsi="Arial"/>
          <w:b w:val="false"/>
          <w:bCs w:val="false"/>
          <w:i w:val="false"/>
          <w:iCs w:val="false"/>
          <w:sz w:val="22"/>
          <w:szCs w:val="22"/>
        </w:rPr>
        <w:t xml:space="preserve">: "I expect there to be a lot of capital that was deployed that doesn’t deliver returns."</w:t>
      </w:r>
    </w:p>
    <w:p>
      <w:pPr>
        <w:spacing w:after="160" w:before="0" w:line="300"/>
      </w:pPr>
      <w:r>
        <w:rPr>
          <w:rFonts w:ascii="Arial" w:cs="Arial" w:eastAsia="Arial" w:hAnsi="Arial"/>
          <w:b/>
          <w:bCs/>
          <w:sz w:val="22"/>
          <w:szCs w:val="22"/>
        </w:rPr>
        <w:t xml:space="preserve">Amazon founder Jeff Bezos</w:t>
      </w:r>
      <w:r>
        <w:rPr>
          <w:rFonts w:ascii="Arial" w:cs="Arial" w:eastAsia="Arial" w:hAnsi="Arial"/>
          <w:b w:val="false"/>
          <w:bCs w:val="false"/>
          <w:i w:val="false"/>
          <w:iCs w:val="false"/>
          <w:sz w:val="22"/>
          <w:szCs w:val="22"/>
        </w:rPr>
        <w:t xml:space="preserve">: Called the current environment "kind of an industrial bubble."</w:t>
      </w:r>
    </w:p>
    <w:p>
      <w:pPr>
        <w:spacing w:after="160" w:before="0" w:line="300"/>
      </w:pPr>
      <w:r>
        <w:rPr>
          <w:rFonts w:ascii="Arial" w:cs="Arial" w:eastAsia="Arial" w:hAnsi="Arial"/>
          <w:b/>
          <w:bCs/>
          <w:sz w:val="22"/>
          <w:szCs w:val="22"/>
        </w:rPr>
        <w:t xml:space="preserve">OpenAI CEO Sam Altman</w:t>
      </w:r>
      <w:r>
        <w:rPr>
          <w:rFonts w:ascii="Arial" w:cs="Arial" w:eastAsia="Arial" w:hAnsi="Arial"/>
          <w:b w:val="false"/>
          <w:bCs w:val="false"/>
          <w:i w:val="false"/>
          <w:iCs w:val="false"/>
          <w:sz w:val="22"/>
          <w:szCs w:val="22"/>
        </w:rPr>
        <w:t xml:space="preserve">: Warned that "people will overinvest and lose money" during this phase.</w:t>
      </w:r>
    </w:p>
    <w:p>
      <w:pPr>
        <w:spacing w:after="160" w:before="0" w:line="300"/>
      </w:pPr>
      <w:r>
        <w:rPr>
          <w:rFonts w:ascii="Arial" w:cs="Arial" w:eastAsia="Arial" w:hAnsi="Arial"/>
          <w:b/>
          <w:bCs/>
          <w:sz w:val="22"/>
          <w:szCs w:val="22"/>
        </w:rPr>
        <w:t xml:space="preserve">40% of CEOs surveyed</w:t>
      </w:r>
      <w:r>
        <w:rPr>
          <w:rFonts w:ascii="Arial" w:cs="Arial" w:eastAsia="Arial" w:hAnsi="Arial"/>
          <w:b w:val="false"/>
          <w:bCs w:val="false"/>
          <w:i w:val="false"/>
          <w:iCs w:val="false"/>
          <w:sz w:val="22"/>
          <w:szCs w:val="22"/>
        </w:rPr>
        <w:t xml:space="preserve"> believe a correction is imminent.</w:t>
      </w:r>
    </w:p>
    <w:p>
      <w:pPr>
        <w:spacing w:after="120" w:before="0" w:line="300"/>
        <w:ind w:left="720"/>
      </w:pPr>
      <w:r>
        <w:rPr>
          <w:rFonts w:ascii="Arial" w:cs="Arial" w:eastAsia="Arial" w:hAnsi="Arial"/>
          <w:b w:val="false"/>
          <w:bCs w:val="false"/>
          <w:i/>
          <w:iCs/>
          <w:sz w:val="20"/>
          <w:szCs w:val="20"/>
        </w:rPr>
        <w:t xml:space="preserve">Goldman Sachs analysis, December 2025; NPR, "Here’s why concerns about an AI bubble are bigger than ever," November 2025; Yale Insights, 2025.</w:t>
      </w:r>
    </w:p>
    <w:p>
      <w:pPr>
        <w:spacing w:after="120" w:before="200" w:line="300"/>
      </w:pPr>
      <w:r>
        <w:rPr>
          <w:rFonts w:ascii="Arial" w:cs="Arial" w:eastAsia="Arial" w:hAnsi="Arial"/>
          <w:b/>
          <w:bCs/>
          <w:i w:val="false"/>
          <w:iCs w:val="false"/>
          <w:color w:val="2E75B6"/>
          <w:sz w:val="24"/>
          <w:szCs w:val="24"/>
        </w:rPr>
        <w:t xml:space="preserve">B. The Six Defining Traits of the Data Center Bubble</w:t>
      </w:r>
    </w:p>
    <w:p>
      <w:pPr>
        <w:spacing w:after="120" w:before="0" w:line="300"/>
      </w:pPr>
      <w:r>
        <w:rPr>
          <w:rFonts w:ascii="Arial" w:cs="Arial" w:eastAsia="Arial" w:hAnsi="Arial"/>
          <w:b w:val="false"/>
          <w:bCs w:val="false"/>
          <w:i w:val="false"/>
          <w:iCs w:val="false"/>
          <w:sz w:val="22"/>
          <w:szCs w:val="22"/>
        </w:rPr>
        <w:t xml:space="preserve">As documented in </w:t>
      </w:r>
      <w:r>
        <w:rPr>
          <w:rFonts w:ascii="Arial" w:cs="Arial" w:eastAsia="Arial" w:hAnsi="Arial"/>
          <w:i/>
          <w:iCs/>
          <w:sz w:val="22"/>
          <w:szCs w:val="22"/>
        </w:rPr>
        <w:t xml:space="preserve">The AI/Data Center Bubble</w:t>
      </w:r>
      <w:r>
        <w:rPr>
          <w:rFonts w:ascii="Arial" w:cs="Arial" w:eastAsia="Arial" w:hAnsi="Arial"/>
          <w:b w:val="false"/>
          <w:bCs w:val="false"/>
          <w:i w:val="false"/>
          <w:iCs w:val="false"/>
          <w:sz w:val="22"/>
          <w:szCs w:val="22"/>
        </w:rPr>
        <w:t xml:space="preserve"> (JTown Beacon, November 2025), the boom exhibits six classic bubble characteristics:</w:t>
      </w:r>
    </w:p>
    <w:p>
      <w:pPr>
        <w:spacing w:after="120" w:before="0" w:line="300"/>
        <w:ind w:left="360"/>
      </w:pPr>
      <w:r>
        <w:rPr>
          <w:rFonts w:ascii="Arial" w:cs="Arial" w:eastAsia="Arial" w:hAnsi="Arial"/>
          <w:b/>
          <w:bCs/>
          <w:sz w:val="22"/>
          <w:szCs w:val="22"/>
        </w:rPr>
        <w:t xml:space="preserve">1. Overbuilding exceeding actual demand: </w:t>
      </w:r>
      <w:r>
        <w:rPr>
          <w:rFonts w:ascii="Arial" w:cs="Arial" w:eastAsia="Arial" w:hAnsi="Arial"/>
          <w:b w:val="false"/>
          <w:bCs w:val="false"/>
          <w:i w:val="false"/>
          <w:iCs w:val="false"/>
          <w:sz w:val="22"/>
          <w:szCs w:val="22"/>
        </w:rPr>
        <w:t xml:space="preserve">Finished facilities in Santa Clara, California sit dark with nearly 100 MW of capacity unable to energize until grid upgrades are completed. 30–50% of the 2026 pipeline may not materialize.</w:t>
      </w:r>
    </w:p>
    <w:p>
      <w:pPr>
        <w:spacing w:after="120" w:before="0" w:line="300"/>
        <w:ind w:left="360"/>
      </w:pPr>
      <w:r>
        <w:rPr>
          <w:rFonts w:ascii="Arial" w:cs="Arial" w:eastAsia="Arial" w:hAnsi="Arial"/>
          <w:b/>
          <w:bCs/>
          <w:sz w:val="22"/>
          <w:szCs w:val="22"/>
        </w:rPr>
        <w:t xml:space="preserve">2. Speculative capital untethered from proven returns: </w:t>
      </w:r>
      <w:r>
        <w:rPr>
          <w:rFonts w:ascii="Arial" w:cs="Arial" w:eastAsia="Arial" w:hAnsi="Arial"/>
          <w:b w:val="false"/>
          <w:bCs w:val="false"/>
          <w:i w:val="false"/>
          <w:iCs w:val="false"/>
          <w:sz w:val="22"/>
          <w:szCs w:val="22"/>
        </w:rPr>
        <w:t xml:space="preserve">95% of companies see zero ROI on generative AI investments. Hyperscaler capital expenditure now consumes approximately 60% of operating cash flow. OpenAI committed $300 billion in computing power with Oracle while generating only $13 billion in projected 2025 revenue.</w:t>
      </w:r>
    </w:p>
    <w:p>
      <w:pPr>
        <w:spacing w:after="120" w:before="0" w:line="300"/>
        <w:ind w:left="360"/>
      </w:pPr>
      <w:r>
        <w:rPr>
          <w:rFonts w:ascii="Arial" w:cs="Arial" w:eastAsia="Arial" w:hAnsi="Arial"/>
          <w:b/>
          <w:bCs/>
          <w:sz w:val="22"/>
          <w:szCs w:val="22"/>
        </w:rPr>
        <w:t xml:space="preserve">3. Resource extraction framed as innovation: </w:t>
      </w:r>
      <w:r>
        <w:rPr>
          <w:rFonts w:ascii="Arial" w:cs="Arial" w:eastAsia="Arial" w:hAnsi="Arial"/>
          <w:b w:val="false"/>
          <w:bCs w:val="false"/>
          <w:i w:val="false"/>
          <w:iCs w:val="false"/>
          <w:sz w:val="22"/>
          <w:szCs w:val="22"/>
        </w:rPr>
        <w:t xml:space="preserve">Data centers consume up to 5 million gallons of water per day (S&amp;P Global), draw 41 GW of power nationally (150% increase in five years), and generate noise, heat, and electromagnetic interference—but industry marketing characterizes opposition as "anti-technology."</w:t>
      </w:r>
    </w:p>
    <w:p>
      <w:pPr>
        <w:spacing w:after="120" w:before="0" w:line="300"/>
        <w:ind w:left="360"/>
      </w:pPr>
      <w:r>
        <w:rPr>
          <w:rFonts w:ascii="Arial" w:cs="Arial" w:eastAsia="Arial" w:hAnsi="Arial"/>
          <w:b/>
          <w:bCs/>
          <w:sz w:val="22"/>
          <w:szCs w:val="22"/>
        </w:rPr>
        <w:t xml:space="preserve">4. Techno-utopian marketing shielding scrutiny: </w:t>
      </w:r>
      <w:r>
        <w:rPr>
          <w:rFonts w:ascii="Arial" w:cs="Arial" w:eastAsia="Arial" w:hAnsi="Arial"/>
          <w:b w:val="false"/>
          <w:bCs w:val="false"/>
          <w:i w:val="false"/>
          <w:iCs w:val="false"/>
          <w:sz w:val="22"/>
          <w:szCs w:val="22"/>
        </w:rPr>
        <w:t xml:space="preserve">Google’s water consumption data in The Dalles, Oregon became public only after a 13-month legal fight. 80% of Virginia municipalities had non-disclosure agreements with data center developers limiting public access to consumption data (Bluefield Research).</w:t>
      </w:r>
    </w:p>
    <w:p>
      <w:pPr>
        <w:spacing w:after="120" w:before="0" w:line="300"/>
        <w:ind w:left="360"/>
      </w:pPr>
      <w:r>
        <w:rPr>
          <w:rFonts w:ascii="Arial" w:cs="Arial" w:eastAsia="Arial" w:hAnsi="Arial"/>
          <w:b/>
          <w:bCs/>
          <w:sz w:val="22"/>
          <w:szCs w:val="22"/>
        </w:rPr>
        <w:t xml:space="preserve">5. Hollow applications dominating: </w:t>
      </w:r>
      <w:r>
        <w:rPr>
          <w:rFonts w:ascii="Arial" w:cs="Arial" w:eastAsia="Arial" w:hAnsi="Arial"/>
          <w:b w:val="false"/>
          <w:bCs w:val="false"/>
          <w:i w:val="false"/>
          <w:iCs w:val="false"/>
          <w:sz w:val="22"/>
          <w:szCs w:val="22"/>
        </w:rPr>
        <w:t xml:space="preserve">The primary near-term AI use cases are advertising optimization, surveillance, and behavioral monetization—not the transformative applications used to justify the infrastructure investment. 78% of ChatGPT conversations focus on everyday tasks like seeking information and editing text.</w:t>
      </w:r>
    </w:p>
    <w:p>
      <w:pPr>
        <w:spacing w:after="200" w:before="0" w:line="300"/>
        <w:ind w:left="360"/>
      </w:pPr>
      <w:r>
        <w:rPr>
          <w:rFonts w:ascii="Arial" w:cs="Arial" w:eastAsia="Arial" w:hAnsi="Arial"/>
          <w:b/>
          <w:bCs/>
          <w:sz w:val="22"/>
          <w:szCs w:val="22"/>
        </w:rPr>
        <w:t xml:space="preserve">6. Risk of stranded assets and facility consolidation: </w:t>
      </w:r>
      <w:r>
        <w:rPr>
          <w:rFonts w:ascii="Arial" w:cs="Arial" w:eastAsia="Arial" w:hAnsi="Arial"/>
          <w:b w:val="false"/>
          <w:bCs w:val="false"/>
          <w:i w:val="false"/>
          <w:iCs w:val="false"/>
          <w:sz w:val="22"/>
          <w:szCs w:val="22"/>
        </w:rPr>
        <w:t xml:space="preserve">NVIDIA’s product roadmap (Ampere 2020, Hopper 2022, Blackwell 2024, Rubin 2026) indicates rapid hardware obsolescence. Retrofitting air-cooled facilities for liquid cooling costs 7–10% more than building new, putting existing capacity at risk of becoming stranded assets.</w:t>
      </w:r>
    </w:p>
    <w:p>
      <w:pPr>
        <w:spacing w:after="120" w:before="0" w:line="300"/>
        <w:ind w:left="720"/>
      </w:pPr>
      <w:r>
        <w:rPr>
          <w:rFonts w:ascii="Arial" w:cs="Arial" w:eastAsia="Arial" w:hAnsi="Arial"/>
          <w:b w:val="false"/>
          <w:bCs w:val="false"/>
          <w:i/>
          <w:iCs/>
          <w:sz w:val="20"/>
          <w:szCs w:val="20"/>
        </w:rPr>
        <w:t xml:space="preserve">Jeff A. Pierson, "The AI/Data Center Bubble," JTown Beacon, November 22, 2025; Goldman Sachs, December 2025; Sightline Climate, 2026.</w:t>
      </w:r>
    </w:p>
    <w:p>
      <w:pPr>
        <w:pageBreakBefore/>
        <w:spacing w:after="0" w:before="0" w:line="300"/>
      </w:pPr>
      <w:r>
        <w:rPr>
          <w:rFonts w:ascii="Arial" w:cs="Arial" w:eastAsia="Arial" w:hAnsi="Arial"/>
          <w:b w:val="false"/>
          <w:bCs w:val="false"/>
          <w:i w:val="false"/>
          <w:iCs w:val="false"/>
          <w:sz w:val="22"/>
          <w:szCs w:val="22"/>
        </w:rPr>
        <w:t xml:space="preserve"/>
      </w:r>
    </w:p>
    <w:p>
      <w:pPr>
        <w:spacing w:after="200" w:before="300" w:line="300"/>
      </w:pPr>
      <w:r>
        <w:rPr>
          <w:rFonts w:ascii="Arial" w:cs="Arial" w:eastAsia="Arial" w:hAnsi="Arial"/>
          <w:b/>
          <w:bCs/>
          <w:i w:val="false"/>
          <w:iCs w:val="false"/>
          <w:color w:val="1F3864"/>
          <w:sz w:val="28"/>
          <w:szCs w:val="28"/>
        </w:rPr>
        <w:t xml:space="preserve">III. Who Pays the Price: The Externalization of Costs to Rural Communities</w:t>
      </w:r>
    </w:p>
    <w:p>
      <w:pPr>
        <w:spacing w:after="160" w:before="0" w:line="300"/>
      </w:pPr>
      <w:r>
        <w:rPr>
          <w:rFonts w:ascii="Arial" w:cs="Arial" w:eastAsia="Arial" w:hAnsi="Arial"/>
          <w:b w:val="false"/>
          <w:bCs w:val="false"/>
          <w:i w:val="false"/>
          <w:iCs w:val="false"/>
          <w:sz w:val="22"/>
          <w:szCs w:val="22"/>
        </w:rPr>
        <w:t xml:space="preserve">The defining feature of the data center boom is not its scale but its structure: the benefits accrue to a handful of trillion-dollar technology companies, while the costs are systematically externalized to communities, ratepayers, agricultural producers, and the environment.</w:t>
      </w:r>
    </w:p>
    <w:p>
      <w:pPr>
        <w:spacing w:after="120" w:before="200" w:line="300"/>
      </w:pPr>
      <w:r>
        <w:rPr>
          <w:rFonts w:ascii="Arial" w:cs="Arial" w:eastAsia="Arial" w:hAnsi="Arial"/>
          <w:b/>
          <w:bCs/>
          <w:i w:val="false"/>
          <w:iCs w:val="false"/>
          <w:color w:val="2E75B6"/>
          <w:sz w:val="24"/>
          <w:szCs w:val="24"/>
        </w:rPr>
        <w:t xml:space="preserve">A. Electricity Rates and the Ratepayer Burden</w:t>
      </w:r>
    </w:p>
    <w:p>
      <w:pPr>
        <w:spacing w:after="160" w:before="0" w:line="300"/>
      </w:pPr>
      <w:r>
        <w:rPr>
          <w:rFonts w:ascii="Arial" w:cs="Arial" w:eastAsia="Arial" w:hAnsi="Arial"/>
          <w:b w:val="false"/>
          <w:bCs w:val="false"/>
          <w:i w:val="false"/>
          <w:iCs w:val="false"/>
          <w:sz w:val="22"/>
          <w:szCs w:val="22"/>
        </w:rPr>
        <w:t xml:space="preserve">Goldman Sachs analysis (February 2026) documented that </w:t>
      </w:r>
      <w:r>
        <w:rPr>
          <w:rFonts w:ascii="Arial" w:cs="Arial" w:eastAsia="Arial" w:hAnsi="Arial"/>
          <w:b/>
          <w:bCs/>
          <w:sz w:val="22"/>
          <w:szCs w:val="22"/>
        </w:rPr>
        <w:t xml:space="preserve">middle-class Americans are paying for the data center and AI boom through higher electric bills and food costs</w:t>
      </w:r>
      <w:r>
        <w:rPr>
          <w:rFonts w:ascii="Arial" w:cs="Arial" w:eastAsia="Arial" w:hAnsi="Arial"/>
          <w:b w:val="false"/>
          <w:bCs w:val="false"/>
          <w:i w:val="false"/>
          <w:iCs w:val="false"/>
          <w:sz w:val="22"/>
          <w:szCs w:val="22"/>
        </w:rPr>
        <w:t xml:space="preserve">. Electricity prices surged nearly 7% through December 2025—far exceeding the 2.9% headline inflation rate. Utilities requested a record $31 billion in rate increases in 2025, more than double 2024’s requests. Goldman projects consumer electricity inflation of 6% from 2026 to 2027, with a 0.2% drag on consumer spending growth and a 0.1% drag on GDP.</w:t>
      </w:r>
    </w:p>
    <w:p>
      <w:pPr>
        <w:spacing w:after="120" w:before="0" w:line="300"/>
        <w:ind w:left="720"/>
      </w:pPr>
      <w:r>
        <w:rPr>
          <w:rFonts w:ascii="Arial" w:cs="Arial" w:eastAsia="Arial" w:hAnsi="Arial"/>
          <w:b w:val="false"/>
          <w:bCs w:val="false"/>
          <w:i/>
          <w:iCs/>
          <w:sz w:val="20"/>
          <w:szCs w:val="20"/>
        </w:rPr>
        <w:t xml:space="preserve">Fortune, "Middle-class Americans are paying for the data center and AI boom with higher electric bills and even food costs, Goldman Sachs warns," February 13, 2026.</w:t>
      </w:r>
    </w:p>
    <w:p>
      <w:pPr>
        <w:spacing w:after="160" w:before="0" w:line="300"/>
      </w:pPr>
      <w:r>
        <w:rPr>
          <w:rFonts w:ascii="Arial" w:cs="Arial" w:eastAsia="Arial" w:hAnsi="Arial"/>
          <w:b w:val="false"/>
          <w:bCs w:val="false"/>
          <w:i w:val="false"/>
          <w:iCs w:val="false"/>
          <w:sz w:val="22"/>
          <w:szCs w:val="22"/>
        </w:rPr>
        <w:t xml:space="preserve">The impacts are worse in rural areas. In South Carolina, data centers will account for </w:t>
      </w:r>
      <w:r>
        <w:rPr>
          <w:rFonts w:ascii="Arial" w:cs="Arial" w:eastAsia="Arial" w:hAnsi="Arial"/>
          <w:b/>
          <w:bCs/>
          <w:sz w:val="22"/>
          <w:szCs w:val="22"/>
        </w:rPr>
        <w:t xml:space="preserve">65–70% of all new energy usage in the state</w:t>
      </w:r>
      <w:r>
        <w:rPr>
          <w:rFonts w:ascii="Arial" w:cs="Arial" w:eastAsia="Arial" w:hAnsi="Arial"/>
          <w:b w:val="false"/>
          <w:bCs w:val="false"/>
          <w:i w:val="false"/>
          <w:iCs w:val="false"/>
          <w:sz w:val="22"/>
          <w:szCs w:val="22"/>
        </w:rPr>
        <w:t xml:space="preserve">. In Virginia, electricity rates rose 267% over five years. In PJM’s capacity market, data centers accounted for an estimated $9.3 billion price increase in the 2025–26 auction, adding $16–18/month to residential bills in Ohio and Maryland.</w:t>
      </w:r>
    </w:p>
    <w:p>
      <w:pPr>
        <w:spacing w:after="120" w:before="0" w:line="300"/>
        <w:ind w:left="720"/>
      </w:pPr>
      <w:r>
        <w:rPr>
          <w:rFonts w:ascii="Arial" w:cs="Arial" w:eastAsia="Arial" w:hAnsi="Arial"/>
          <w:b w:val="false"/>
          <w:bCs w:val="false"/>
          <w:i/>
          <w:iCs/>
          <w:sz w:val="20"/>
          <w:szCs w:val="20"/>
        </w:rPr>
        <w:t xml:space="preserve">MediaJustice study, 2025; Virginia SCC filings; PJM Interconnection, 2025–26 Base Residual Auction Results.</w:t>
      </w:r>
    </w:p>
    <w:p>
      <w:pPr>
        <w:spacing w:after="160" w:before="0" w:line="300"/>
      </w:pPr>
      <w:r>
        <w:rPr>
          <w:rFonts w:ascii="Arial" w:cs="Arial" w:eastAsia="Arial" w:hAnsi="Arial"/>
          <w:b w:val="false"/>
          <w:bCs w:val="false"/>
          <w:i w:val="false"/>
          <w:iCs w:val="false"/>
          <w:sz w:val="22"/>
          <w:szCs w:val="22"/>
        </w:rPr>
        <w:t xml:space="preserve">The Electric Power Research Institute (EPRI) projects that data centers could account for </w:t>
      </w:r>
      <w:r>
        <w:rPr>
          <w:rFonts w:ascii="Arial" w:cs="Arial" w:eastAsia="Arial" w:hAnsi="Arial"/>
          <w:b/>
          <w:bCs/>
          <w:sz w:val="22"/>
          <w:szCs w:val="22"/>
        </w:rPr>
        <w:t xml:space="preserve">9–17% of total U.S. electricity consumption by 2030</w:t>
      </w:r>
      <w:r>
        <w:rPr>
          <w:rFonts w:ascii="Arial" w:cs="Arial" w:eastAsia="Arial" w:hAnsi="Arial"/>
          <w:b w:val="false"/>
          <w:bCs w:val="false"/>
          <w:i w:val="false"/>
          <w:iCs w:val="false"/>
          <w:sz w:val="22"/>
          <w:szCs w:val="22"/>
        </w:rPr>
        <w:t xml:space="preserve">, up from 4.4% today. A Yale Clean Energy Forum report estimates data centers could consume as much as 12% of total U.S. power by 2028—higher than all manufacturing of steel, aluminum, and other high-intensity goods combined.</w:t>
      </w:r>
    </w:p>
    <w:p>
      <w:pPr>
        <w:spacing w:after="120" w:before="0" w:line="300"/>
        <w:ind w:left="720"/>
      </w:pPr>
      <w:r>
        <w:rPr>
          <w:rFonts w:ascii="Arial" w:cs="Arial" w:eastAsia="Arial" w:hAnsi="Arial"/>
          <w:b w:val="false"/>
          <w:bCs w:val="false"/>
          <w:i/>
          <w:iCs/>
          <w:sz w:val="20"/>
          <w:szCs w:val="20"/>
        </w:rPr>
        <w:t xml:space="preserve">EPRI, 2025–2026 projections; Yale Clean Energy Forum, 2025.</w:t>
      </w:r>
    </w:p>
    <w:p>
      <w:pPr>
        <w:spacing w:after="120" w:before="200" w:line="300"/>
      </w:pPr>
      <w:r>
        <w:rPr>
          <w:rFonts w:ascii="Arial" w:cs="Arial" w:eastAsia="Arial" w:hAnsi="Arial"/>
          <w:b/>
          <w:bCs/>
          <w:i w:val="false"/>
          <w:iCs w:val="false"/>
          <w:color w:val="2E75B6"/>
          <w:sz w:val="24"/>
          <w:szCs w:val="24"/>
        </w:rPr>
        <w:t xml:space="preserve">B. Water Consumption and Agricultural Competition</w:t>
      </w:r>
    </w:p>
    <w:p>
      <w:pPr>
        <w:spacing w:after="160" w:before="0" w:line="300"/>
      </w:pPr>
      <w:r>
        <w:rPr>
          <w:rFonts w:ascii="Arial" w:cs="Arial" w:eastAsia="Arial" w:hAnsi="Arial"/>
          <w:b w:val="false"/>
          <w:bCs w:val="false"/>
          <w:i w:val="false"/>
          <w:iCs w:val="false"/>
          <w:sz w:val="22"/>
          <w:szCs w:val="22"/>
        </w:rPr>
        <w:t xml:space="preserve">Large data centers consume up to 5 million gallons per day (S&amp;P Global, 2025). Nationally, data centers consumed 66 billion liters of water in 2023, with projections reaching 150–300 billion liters annually by 2028. In rural communities, a single data center can become the largest water consumer overnight (Brookings Institution, 2025). For Jerome County, where the Eastern Snake Plain Aquifer is already in deficit by 75,300 acre-feet (IDWR, 2025), any significant new industrial water demand threatens the agricultural economy that sustains the community.</w:t>
      </w:r>
    </w:p>
    <w:p>
      <w:pPr>
        <w:spacing w:after="120" w:before="200" w:line="300"/>
      </w:pPr>
      <w:r>
        <w:rPr>
          <w:rFonts w:ascii="Arial" w:cs="Arial" w:eastAsia="Arial" w:hAnsi="Arial"/>
          <w:b/>
          <w:bCs/>
          <w:i w:val="false"/>
          <w:iCs w:val="false"/>
          <w:color w:val="2E75B6"/>
          <w:sz w:val="24"/>
          <w:szCs w:val="24"/>
        </w:rPr>
        <w:t xml:space="preserve">C. Jobs and Economic Reality</w:t>
      </w:r>
    </w:p>
    <w:p>
      <w:pPr>
        <w:spacing w:after="160" w:before="0" w:line="300"/>
      </w:pPr>
      <w:r>
        <w:rPr>
          <w:rFonts w:ascii="Arial" w:cs="Arial" w:eastAsia="Arial" w:hAnsi="Arial"/>
          <w:b w:val="false"/>
          <w:bCs w:val="false"/>
          <w:i w:val="false"/>
          <w:iCs w:val="false"/>
          <w:sz w:val="22"/>
          <w:szCs w:val="22"/>
        </w:rPr>
        <w:t xml:space="preserve">The jobs promise of data centers is among the most systematically overstated claims in the industry. A 12 MW facility typically employs approximately </w:t>
      </w:r>
      <w:r>
        <w:rPr>
          <w:rFonts w:ascii="Arial" w:cs="Arial" w:eastAsia="Arial" w:hAnsi="Arial"/>
          <w:b/>
          <w:bCs/>
          <w:sz w:val="22"/>
          <w:szCs w:val="22"/>
        </w:rPr>
        <w:t xml:space="preserve">20 full-time workers</w:t>
      </w:r>
      <w:r>
        <w:rPr>
          <w:rFonts w:ascii="Arial" w:cs="Arial" w:eastAsia="Arial" w:hAnsi="Arial"/>
          <w:b w:val="false"/>
          <w:bCs w:val="false"/>
          <w:i w:val="false"/>
          <w:iCs w:val="false"/>
          <w:sz w:val="22"/>
          <w:szCs w:val="22"/>
        </w:rPr>
        <w:t xml:space="preserve">. A 40–100 MW facility often employs only a few dozen permanent staff. The public cost per permanent job routinely exceeds $1–2 million in incentives, and in Ohio, multiple deals have crossed the $2 million per job threshold. At least 36 of 50 states now offer tax exemptions or abatements to attract data centers—creating a race to the bottom in which communities compete to give away the most for the least return.</w:t>
      </w:r>
    </w:p>
    <w:p>
      <w:pPr>
        <w:spacing w:after="120" w:before="0" w:line="300"/>
        <w:ind w:left="720"/>
      </w:pPr>
      <w:r>
        <w:rPr>
          <w:rFonts w:ascii="Arial" w:cs="Arial" w:eastAsia="Arial" w:hAnsi="Arial"/>
          <w:b w:val="false"/>
          <w:bCs w:val="false"/>
          <w:i/>
          <w:iCs/>
          <w:sz w:val="20"/>
          <w:szCs w:val="20"/>
        </w:rPr>
        <w:t xml:space="preserve">Jeff A. Pierson, "The AI/Data Center Bubble," JTown Beacon, November 2025; Ohio state incentive records.</w:t>
      </w:r>
    </w:p>
    <w:p>
      <w:pPr>
        <w:spacing w:after="120" w:before="200" w:line="300"/>
      </w:pPr>
      <w:r>
        <w:rPr>
          <w:rFonts w:ascii="Arial" w:cs="Arial" w:eastAsia="Arial" w:hAnsi="Arial"/>
          <w:b/>
          <w:bCs/>
          <w:i w:val="false"/>
          <w:iCs w:val="false"/>
          <w:color w:val="2E75B6"/>
          <w:sz w:val="24"/>
          <w:szCs w:val="24"/>
        </w:rPr>
        <w:t xml:space="preserve">D. Community Opposition: A National Movement</w:t>
      </w:r>
    </w:p>
    <w:p>
      <w:pPr>
        <w:spacing w:after="160" w:before="0" w:line="300"/>
      </w:pPr>
      <w:r>
        <w:rPr>
          <w:rFonts w:ascii="Arial" w:cs="Arial" w:eastAsia="Arial" w:hAnsi="Arial"/>
          <w:b w:val="false"/>
          <w:bCs w:val="false"/>
          <w:i w:val="false"/>
          <w:iCs w:val="false"/>
          <w:sz w:val="22"/>
          <w:szCs w:val="22"/>
        </w:rPr>
        <w:t xml:space="preserve">The backlash is not anecdotal. It is documented, quantified, and accelerating. Data Center Watch reports that </w:t>
      </w:r>
      <w:r>
        <w:rPr>
          <w:rFonts w:ascii="Arial" w:cs="Arial" w:eastAsia="Arial" w:hAnsi="Arial"/>
          <w:b/>
          <w:bCs/>
          <w:sz w:val="22"/>
          <w:szCs w:val="22"/>
        </w:rPr>
        <w:t xml:space="preserve">in Q2 2025 alone, data center opponents slowed or thwarted projects totaling approximately $100 billion</w:t>
      </w:r>
      <w:r>
        <w:rPr>
          <w:rFonts w:ascii="Arial" w:cs="Arial" w:eastAsia="Arial" w:hAnsi="Arial"/>
          <w:b w:val="false"/>
          <w:bCs w:val="false"/>
          <w:i w:val="false"/>
          <w:iCs w:val="false"/>
          <w:sz w:val="22"/>
          <w:szCs w:val="22"/>
        </w:rPr>
        <w:t xml:space="preserve">—more than the total of every quarter since 2023. Across the country, $64 billion in data center projects have been blocked or delayed by community opposition since mid-2024. At least 188 organized opposition groups span 40 states, and lawmakers in 14+ states have enacted or proposed moratoriums.</w:t>
      </w:r>
    </w:p>
    <w:p>
      <w:pPr>
        <w:spacing w:after="120" w:before="0" w:line="300"/>
        <w:ind w:left="720"/>
      </w:pPr>
      <w:r>
        <w:rPr>
          <w:rFonts w:ascii="Arial" w:cs="Arial" w:eastAsia="Arial" w:hAnsi="Arial"/>
          <w:b w:val="false"/>
          <w:bCs w:val="false"/>
          <w:i/>
          <w:iCs/>
          <w:sz w:val="20"/>
          <w:szCs w:val="20"/>
        </w:rPr>
        <w:t xml:space="preserve">Data Center Watch, 2025–2026 opposition tracker; The American Prospect, "Demands for Data Center Moratoriums Surge," December 2025.</w:t>
      </w:r>
    </w:p>
    <w:p>
      <w:pPr>
        <w:pageBreakBefore/>
        <w:spacing w:after="0" w:before="0" w:line="300"/>
      </w:pPr>
      <w:r>
        <w:rPr>
          <w:rFonts w:ascii="Arial" w:cs="Arial" w:eastAsia="Arial" w:hAnsi="Arial"/>
          <w:b w:val="false"/>
          <w:bCs w:val="false"/>
          <w:i w:val="false"/>
          <w:iCs w:val="false"/>
          <w:sz w:val="22"/>
          <w:szCs w:val="22"/>
        </w:rPr>
        <w:t xml:space="preserve"/>
      </w:r>
    </w:p>
    <w:p>
      <w:pPr>
        <w:spacing w:after="200" w:before="300" w:line="300"/>
      </w:pPr>
      <w:r>
        <w:rPr>
          <w:rFonts w:ascii="Arial" w:cs="Arial" w:eastAsia="Arial" w:hAnsi="Arial"/>
          <w:b/>
          <w:bCs/>
          <w:i w:val="false"/>
          <w:iCs w:val="false"/>
          <w:color w:val="1F3864"/>
          <w:sz w:val="28"/>
          <w:szCs w:val="28"/>
        </w:rPr>
        <w:t xml:space="preserve">IV. The Stranded Asset Risk: What Happens When the Bubble Deflates</w:t>
      </w:r>
    </w:p>
    <w:p>
      <w:pPr>
        <w:spacing w:after="160" w:before="0" w:line="300"/>
      </w:pPr>
      <w:r>
        <w:rPr>
          <w:rFonts w:ascii="Arial" w:cs="Arial" w:eastAsia="Arial" w:hAnsi="Arial"/>
          <w:b w:val="false"/>
          <w:bCs w:val="false"/>
          <w:i w:val="false"/>
          <w:iCs w:val="false"/>
          <w:sz w:val="22"/>
          <w:szCs w:val="22"/>
        </w:rPr>
        <w:t xml:space="preserve">Every infrastructure bubble creates stranded assets. The 1990s telecom bubble left thousands of miles of dark fiber. The 2008 housing crisis left millions of foreclosed homes. The data center bubble is building its own legacy of stranded infrastructure, and the communities that hosted these facilities will bear the consequences.</w:t>
      </w:r>
    </w:p>
    <w:p>
      <w:pPr>
        <w:spacing w:after="160" w:before="0" w:line="300"/>
      </w:pPr>
      <w:r>
        <w:rPr>
          <w:rFonts w:ascii="Arial" w:cs="Arial" w:eastAsia="Arial" w:hAnsi="Arial"/>
          <w:b w:val="false"/>
          <w:bCs w:val="false"/>
          <w:i w:val="false"/>
          <w:iCs w:val="false"/>
          <w:sz w:val="22"/>
          <w:szCs w:val="22"/>
        </w:rPr>
        <w:t xml:space="preserve">Yale School of Management identifies three mechanisms through which the AI bubble could burst: </w:t>
      </w:r>
      <w:r>
        <w:rPr>
          <w:rFonts w:ascii="Arial" w:cs="Arial" w:eastAsia="Arial" w:hAnsi="Arial"/>
          <w:b/>
          <w:bCs/>
          <w:sz w:val="22"/>
          <w:szCs w:val="22"/>
        </w:rPr>
        <w:t xml:space="preserve">concentration leading to contagion</w:t>
      </w:r>
      <w:r>
        <w:rPr>
          <w:rFonts w:ascii="Arial" w:cs="Arial" w:eastAsia="Arial" w:hAnsi="Arial"/>
          <w:b w:val="false"/>
          <w:bCs w:val="false"/>
          <w:i w:val="false"/>
          <w:iCs w:val="false"/>
          <w:sz w:val="22"/>
          <w:szCs w:val="22"/>
        </w:rPr>
        <w:t xml:space="preserve"> (a small group of companies dominates AI investment, and failure of any major player triggers cascading defaults), </w:t>
      </w:r>
      <w:r>
        <w:rPr>
          <w:rFonts w:ascii="Arial" w:cs="Arial" w:eastAsia="Arial" w:hAnsi="Arial"/>
          <w:b/>
          <w:bCs/>
          <w:sz w:val="22"/>
          <w:szCs w:val="22"/>
        </w:rPr>
        <w:t xml:space="preserve">governance failures exposing shortcomings</w:t>
      </w:r>
      <w:r>
        <w:rPr>
          <w:rFonts w:ascii="Arial" w:cs="Arial" w:eastAsia="Arial" w:hAnsi="Arial"/>
          <w:b w:val="false"/>
          <w:bCs w:val="false"/>
          <w:i w:val="false"/>
          <w:iCs w:val="false"/>
          <w:sz w:val="22"/>
          <w:szCs w:val="22"/>
        </w:rPr>
        <w:t xml:space="preserve"> (AI operates with minimal regulatory oversight, and a compromised major model could trigger moratoriums), and </w:t>
      </w:r>
      <w:r>
        <w:rPr>
          <w:rFonts w:ascii="Arial" w:cs="Arial" w:eastAsia="Arial" w:hAnsi="Arial"/>
          <w:b/>
          <w:bCs/>
          <w:sz w:val="22"/>
          <w:szCs w:val="22"/>
        </w:rPr>
        <w:t xml:space="preserve">disruptive substitutions rendering infrastructure obsolete</w:t>
      </w:r>
      <w:r>
        <w:rPr>
          <w:rFonts w:ascii="Arial" w:cs="Arial" w:eastAsia="Arial" w:hAnsi="Arial"/>
          <w:b w:val="false"/>
          <w:bCs w:val="false"/>
          <w:i w:val="false"/>
          <w:iCs w:val="false"/>
          <w:sz w:val="22"/>
          <w:szCs w:val="22"/>
        </w:rPr>
        <w:t xml:space="preserve"> (breakthroughs in quantum computing or semiconductor design could immediately devalue hundreds of billions in current data center infrastructure).</w:t>
      </w:r>
    </w:p>
    <w:p>
      <w:pPr>
        <w:spacing w:after="120" w:before="0" w:line="300"/>
        <w:ind w:left="720"/>
      </w:pPr>
      <w:r>
        <w:rPr>
          <w:rFonts w:ascii="Arial" w:cs="Arial" w:eastAsia="Arial" w:hAnsi="Arial"/>
          <w:b w:val="false"/>
          <w:bCs w:val="false"/>
          <w:i/>
          <w:iCs/>
          <w:sz w:val="20"/>
          <w:szCs w:val="20"/>
        </w:rPr>
        <w:t xml:space="preserve">Yale School of Management, "This Is How the AI Bubble Bursts," 2025.</w:t>
      </w:r>
    </w:p>
    <w:p>
      <w:pPr>
        <w:spacing w:after="160" w:before="0" w:line="300"/>
      </w:pPr>
      <w:r>
        <w:rPr>
          <w:rFonts w:ascii="Arial" w:cs="Arial" w:eastAsia="Arial" w:hAnsi="Arial"/>
          <w:b w:val="false"/>
          <w:bCs w:val="false"/>
          <w:i w:val="false"/>
          <w:iCs w:val="false"/>
          <w:sz w:val="22"/>
          <w:szCs w:val="22"/>
        </w:rPr>
        <w:t xml:space="preserve">The financial exposure is enormous. Roughly </w:t>
      </w:r>
      <w:r>
        <w:rPr>
          <w:rFonts w:ascii="Arial" w:cs="Arial" w:eastAsia="Arial" w:hAnsi="Arial"/>
          <w:b/>
          <w:bCs/>
          <w:sz w:val="22"/>
          <w:szCs w:val="22"/>
        </w:rPr>
        <w:t xml:space="preserve">$200 billion in data center debt was raised in 2025 alone</w:t>
      </w:r>
      <w:r>
        <w:rPr>
          <w:rFonts w:ascii="Arial" w:cs="Arial" w:eastAsia="Arial" w:hAnsi="Arial"/>
          <w:b w:val="false"/>
          <w:bCs w:val="false"/>
          <w:i w:val="false"/>
          <w:iCs w:val="false"/>
          <w:sz w:val="22"/>
          <w:szCs w:val="22"/>
        </w:rPr>
        <w:t xml:space="preserve">. By 2028, the market could exceed $1 trillion, with as much as $750 billion coming from private credit. Utilities spent $178 billion on grid upgrades last year and are forecasting $1.1 trillion in capital investments through 2029—investments that could become stranded assets if demand projections prove inflated.</w:t>
      </w:r>
    </w:p>
    <w:p>
      <w:pPr>
        <w:spacing w:after="120" w:before="0" w:line="300"/>
        <w:ind w:left="720"/>
      </w:pPr>
      <w:r>
        <w:rPr>
          <w:rFonts w:ascii="Arial" w:cs="Arial" w:eastAsia="Arial" w:hAnsi="Arial"/>
          <w:b w:val="false"/>
          <w:bCs w:val="false"/>
          <w:i/>
          <w:iCs/>
          <w:sz w:val="20"/>
          <w:szCs w:val="20"/>
        </w:rPr>
        <w:t xml:space="preserve">Bank of America credit analysis, 2025; Wisconsin Watch, utility stranded asset reporting, 2025.</w:t>
      </w:r>
    </w:p>
    <w:p>
      <w:pPr>
        <w:spacing w:after="160" w:before="0" w:line="300"/>
      </w:pPr>
      <w:r>
        <w:rPr>
          <w:rFonts w:ascii="Arial" w:cs="Arial" w:eastAsia="Arial" w:hAnsi="Arial"/>
          <w:b w:val="false"/>
          <w:bCs w:val="false"/>
          <w:i w:val="false"/>
          <w:iCs w:val="false"/>
          <w:sz w:val="22"/>
          <w:szCs w:val="22"/>
        </w:rPr>
        <w:t xml:space="preserve">When data center facilities are abandoned, consolidated, or mothballed, the communities that hosted them are left with permanently converted agricultural land, degraded water resources, overburdened electrical infrastructure, and a depleted tax base. The 20 permanent jobs are gone. The tax abatements have already been collected. The aquifer has been drawn down. The farmland has been paved. And the recovery—if it comes at all—takes decades.</w:t>
      </w:r>
    </w:p>
    <w:p>
      <w:pPr>
        <w:spacing w:after="200" w:before="300" w:line="300"/>
      </w:pPr>
      <w:r>
        <w:rPr>
          <w:rFonts w:ascii="Arial" w:cs="Arial" w:eastAsia="Arial" w:hAnsi="Arial"/>
          <w:b/>
          <w:bCs/>
          <w:i w:val="false"/>
          <w:iCs w:val="false"/>
          <w:color w:val="1F3864"/>
          <w:sz w:val="28"/>
          <w:szCs w:val="28"/>
        </w:rPr>
        <w:t xml:space="preserve">V. Why This Matters for Jerome County</w:t>
      </w:r>
    </w:p>
    <w:p>
      <w:pPr>
        <w:spacing w:after="160" w:before="0" w:line="300"/>
      </w:pPr>
      <w:r>
        <w:rPr>
          <w:rFonts w:ascii="Arial" w:cs="Arial" w:eastAsia="Arial" w:hAnsi="Arial"/>
          <w:b w:val="false"/>
          <w:bCs w:val="false"/>
          <w:i w:val="false"/>
          <w:iCs w:val="false"/>
          <w:sz w:val="22"/>
          <w:szCs w:val="22"/>
        </w:rPr>
        <w:t xml:space="preserve">Jerome County is precisely the kind of community that data center developers target: abundant land, available water (or so they assume), lower land costs, willing political environments, and a population unfamiliar with the industry’s track record. The proposed ordinance package is not anti-technology. It is pro-community.</w:t>
      </w:r>
    </w:p>
    <w:p>
      <w:pPr>
        <w:spacing w:after="160" w:before="0" w:line="300"/>
      </w:pPr>
      <w:r>
        <w:rPr>
          <w:rFonts w:ascii="Arial" w:cs="Arial" w:eastAsia="Arial" w:hAnsi="Arial"/>
          <w:b/>
          <w:bCs/>
          <w:sz w:val="22"/>
          <w:szCs w:val="22"/>
        </w:rPr>
        <w:t xml:space="preserve">The ordinances protect Jerome County from becoming a host for speculative infrastructure that may never fulfill its promises.</w:t>
      </w:r>
      <w:r>
        <w:rPr>
          <w:rFonts w:ascii="Arial" w:cs="Arial" w:eastAsia="Arial" w:hAnsi="Arial"/>
          <w:b w:val="false"/>
          <w:bCs w:val="false"/>
          <w:i w:val="false"/>
          <w:iCs w:val="false"/>
          <w:sz w:val="22"/>
          <w:szCs w:val="22"/>
        </w:rPr>
        <w:t xml:space="preserve"> The tiered classification system ensures that projects are reviewed proportionate to their impacts. The Class I/II soil prohibition ensures that irreplaceable farmland is not sacrificed for facilities that may become stranded assets within a decade. The decommissioning bond ensures that the community is not left holding the financial bag when a data center operator moves on. The county-wide notification requirement ensures that every resident whose water, electricity rates, property values, and agricultural economy may be affected has the opportunity to be heard.</w:t>
      </w:r>
    </w:p>
    <w:p>
      <w:pPr>
        <w:spacing w:after="160" w:before="0" w:line="300"/>
      </w:pPr>
      <w:r>
        <w:rPr>
          <w:rFonts w:ascii="Arial" w:cs="Arial" w:eastAsia="Arial" w:hAnsi="Arial"/>
          <w:b w:val="false"/>
          <w:bCs w:val="false"/>
          <w:i w:val="false"/>
          <w:iCs w:val="false"/>
          <w:sz w:val="22"/>
          <w:szCs w:val="22"/>
        </w:rPr>
        <w:t xml:space="preserve">Idaho House Concurrent Resolution 32 (HCR032, adopted March 16, 2026) aligns state policy with this approach, declaring that energy infrastructure that "materially harms agriculture, critical water resources, or rural communities" is "inconsistent with state policy." The proposed ordinances do not prevent responsible, appropriately-sited development. They prevent the kind of </w:t>
      </w:r>
      <w:r>
        <w:rPr>
          <w:rFonts w:ascii="Arial" w:cs="Arial" w:eastAsia="Arial" w:hAnsi="Arial"/>
          <w:b/>
          <w:bCs/>
          <w:sz w:val="22"/>
          <w:szCs w:val="22"/>
        </w:rPr>
        <w:t xml:space="preserve">speculative, community-destructive, resource-extractive development</w:t>
      </w:r>
      <w:r>
        <w:rPr>
          <w:rFonts w:ascii="Arial" w:cs="Arial" w:eastAsia="Arial" w:hAnsi="Arial"/>
          <w:b w:val="false"/>
          <w:bCs w:val="false"/>
          <w:i w:val="false"/>
          <w:iCs w:val="false"/>
          <w:sz w:val="22"/>
          <w:szCs w:val="22"/>
        </w:rPr>
        <w:t xml:space="preserve"> that the national evidence documents is the norm—not the exception—in the current data center boom.</w:t>
      </w:r>
    </w:p>
    <w:p>
      <w:pPr>
        <w:spacing w:after="160" w:before="0" w:line="300"/>
      </w:pPr>
      <w:r>
        <w:rPr>
          <w:rFonts w:ascii="Arial" w:cs="Arial" w:eastAsia="Arial" w:hAnsi="Arial"/>
          <w:b w:val="false"/>
          <w:bCs w:val="false"/>
          <w:i w:val="false"/>
          <w:iCs w:val="false"/>
          <w:sz w:val="22"/>
          <w:szCs w:val="22"/>
        </w:rPr>
        <w:t xml:space="preserve">As Goldman Sachs, Yale, Sightline Climate, and the industry’s own leaders have acknowledged: this boom is built on assumptions that may not materialize. Jerome County’s 65 survey respondents understood this instinctively. 93.7% oppose large-scale energy in agricultural zones. 92.3% are concerned about BESS safety. 87.7% say farmland protection should take priority. 80% say the current approach needs significant revision. The community is not wrong. The evidence confirms they are right.</w:t>
      </w:r>
    </w:p>
    <w:p>
      <w:pPr>
        <w:spacing w:after="200" w:before="0" w:line="300"/>
      </w:pPr>
      <w:r>
        <w:rPr>
          <w:rFonts w:ascii="Arial" w:cs="Arial" w:eastAsia="Arial" w:hAnsi="Arial"/>
          <w:b w:val="false"/>
          <w:bCs w:val="false"/>
          <w:i w:val="false"/>
          <w:iCs w:val="false"/>
          <w:sz w:val="22"/>
          <w:szCs w:val="22"/>
        </w:rPr>
        <w:t xml:space="preserve"/>
      </w:r>
    </w:p>
    <w:p>
      <w:pPr>
        <w:pBdr>
          <w:top w:val="single" w:color="2E75B6" w:sz="4" w:space="8"/>
        </w:pBdr>
        <w:spacing w:after="100" w:before="200"/>
        <w:jc w:val="center"/>
      </w:pPr>
      <w:r>
        <w:rPr>
          <w:rFonts w:ascii="Arial" w:cs="Arial" w:eastAsia="Arial" w:hAnsi="Arial"/>
          <w:b w:val="false"/>
          <w:bCs w:val="false"/>
          <w:i/>
          <w:iCs/>
          <w:color w:val="666666"/>
          <w:sz w:val="18"/>
          <w:szCs w:val="18"/>
        </w:rPr>
        <w:t xml:space="preserve">Prepared by Jeff Pierson, Confidential Solutions LLC  |  713 East Ave C, Jerome, Idaho  |  March 2026</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Position Paper: The Data Center Crisis</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22,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creation: Scale of boom ($700B), bubble dynamics, cost externalization, stranded asset risk, Jerome County implications</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IdahoEnergy logo to footer; package expanded from 14 to 17 documents</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75B6" w:sz="4" w:space="4"/>
      </w:pBdr>
      <w:tabs>
        <w:tab w:val="right" w:pos="9026"/>
      </w:tabs>
    </w:pPr>
    <w:r>
      <w:drawing>
        <wp:inline distT="0" distB="0" distL="0" distR="0">
          <wp:extent cx="285750" cy="304800"/>
          <wp:effectExtent t="0" r="0" b="0" l="0"/>
          <wp:docPr id="1" name="logo" descr="Idaho Energy Reform Logo" title="Idaho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304800"/>
                  </a:xfrm>
                  <a:prstGeom prst="rect">
                    <a:avLst/>
                  </a:prstGeom>
                </pic:spPr>
              </pic:pic>
            </a:graphicData>
          </a:graphic>
        </wp:inline>
      </w:drawing>
    </w:r>
    <w:r>
      <w:rPr>
        <w:rFonts w:ascii="Arial" w:cs="Arial" w:eastAsia="Arial" w:hAnsi="Arial"/>
        <w:b w:val="false"/>
        <w:bCs w:val="false"/>
        <w:i w:val="false"/>
        <w:iCs w:val="false"/>
        <w:color w:val="666666"/>
        <w:sz w:val="16"/>
        <w:szCs w:val="16"/>
      </w:rPr>
      <w:t xml:space="preserve">  Pierson — Data Center Crisis Position Paper</w:t>
    </w:r>
    <w:r>
      <w:rPr>
        <w:rFonts w:ascii="Arial" w:cs="Arial" w:eastAsia="Arial" w:hAnsi="Arial"/>
        <w:sz w:val="16"/>
        <w:szCs w:val="16"/>
      </w:rPr>
      <w:t xml:space="preserve">	</w:t>
    </w:r>
    <w:r>
      <w:rPr>
        <w:rFonts w:ascii="Arial" w:cs="Arial" w:eastAsia="Arial" w:hAnsi="Arial"/>
        <w:b w:val="false"/>
        <w:bCs w:val="false"/>
        <w:i w:val="false"/>
        <w:iCs w:val="false"/>
        <w:color w:val="666666"/>
        <w:sz w:val="16"/>
        <w:szCs w:val="16"/>
      </w:rPr>
      <w:t xml:space="preserve">March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4" w:space="4"/>
      </w:pBdr>
      <w:jc w:val="right"/>
    </w:pPr>
    <w:r>
      <w:rPr>
        <w:rFonts w:ascii="Arial" w:cs="Arial" w:eastAsia="Arial" w:hAnsi="Arial"/>
        <w:b w:val="false"/>
        <w:bCs w:val="false"/>
        <w:i/>
        <w:iCs/>
        <w:color w:val="666666"/>
        <w:sz w:val="16"/>
        <w:szCs w:val="16"/>
      </w:rPr>
      <w:t xml:space="preserve">JEROME COUNTY ENERGY ORDINANCE REFORM — DATA CENTER CRISIS POSITION PAPER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9ca865e1c5a7b0148e78c60e0124e67a684ba82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2026-03-23T07:48:00.982Z</dcterms:created>
  <dcterms:modified xsi:type="dcterms:W3CDTF">2026-03-23T07:48:00.984Z</dcterms:modified>
</cp:coreProperties>
</file>

<file path=docProps/custom.xml><?xml version="1.0" encoding="utf-8"?>
<Properties xmlns="http://schemas.openxmlformats.org/officeDocument/2006/custom-properties" xmlns:vt="http://schemas.openxmlformats.org/officeDocument/2006/docPropsVTypes"/>
</file>