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line="360"/>
      </w:pPr>
      <w:r>
        <w:rPr>
          <w:rFonts w:ascii="Arial" w:cs="Arial" w:eastAsia="Arial" w:hAnsi="Arial"/>
          <w:b w:val="false"/>
          <w:bCs w:val="false"/>
          <w:i w:val="false"/>
          <w:iCs w:val="false"/>
          <w:sz w:val="22"/>
          <w:szCs w:val="22"/>
        </w:rPr>
        <w:t xml:space="preserve"/>
      </w:r>
    </w:p>
    <w:p>
      <w:pPr>
        <w:spacing w:after="400" w:before="0" w:line="360"/>
      </w:pPr>
      <w:r>
        <w:rPr>
          <w:rFonts w:ascii="Arial" w:cs="Arial" w:eastAsia="Arial" w:hAnsi="Arial"/>
          <w:b w:val="false"/>
          <w:bCs w:val="false"/>
          <w:i w:val="false"/>
          <w:iCs w:val="false"/>
          <w:sz w:val="22"/>
          <w:szCs w:val="22"/>
        </w:rPr>
        <w:t xml:space="preserve"/>
      </w:r>
    </w:p>
    <w:p>
      <w:pPr>
        <w:spacing w:after="300" w:before="0" w:line="360"/>
        <w:jc w:val="center"/>
      </w:pPr>
      <w:r>
        <w:rPr>
          <w:rFonts w:ascii="Arial" w:cs="Arial" w:eastAsia="Arial" w:hAnsi="Arial"/>
          <w:b/>
          <w:bCs/>
          <w:i w:val="false"/>
          <w:iCs w:val="false"/>
          <w:sz w:val="28"/>
          <w:szCs w:val="28"/>
        </w:rPr>
        <w:t xml:space="preserve">ENERGY PROJECTS, DATA CENTERS, AND THE LIMITS OF THE RIGHT TO BUILD</w:t>
      </w:r>
    </w:p>
    <w:p>
      <w:pPr>
        <w:spacing w:after="500" w:before="0" w:line="360"/>
        <w:jc w:val="center"/>
      </w:pPr>
      <w:r>
        <w:rPr>
          <w:rFonts w:ascii="Arial" w:cs="Arial" w:eastAsia="Arial" w:hAnsi="Arial"/>
          <w:b w:val="false"/>
          <w:bCs w:val="false"/>
          <w:i w:val="false"/>
          <w:iCs w:val="false"/>
          <w:sz w:val="24"/>
          <w:szCs w:val="24"/>
        </w:rPr>
        <w:t xml:space="preserve">A Policy Position on Property Rights, Community Notification, and the Protection of Rural Communities from Uncompensated Development Impacts</w:t>
      </w:r>
    </w:p>
    <w:p>
      <w:pPr>
        <w:spacing w:after="300" w:before="0" w:line="360"/>
      </w:pPr>
      <w:r>
        <w:rPr>
          <w:rFonts w:ascii="Arial" w:cs="Arial" w:eastAsia="Arial" w:hAnsi="Arial"/>
          <w:b w:val="false"/>
          <w:bCs w:val="false"/>
          <w:i w:val="false"/>
          <w:iCs w:val="false"/>
          <w:sz w:val="22"/>
          <w:szCs w:val="22"/>
        </w:rPr>
        <w:t xml:space="preserve"/>
      </w:r>
    </w:p>
    <w:p>
      <w:pPr>
        <w:spacing w:after="80" w:before="0" w:line="360"/>
        <w:jc w:val="center"/>
      </w:pPr>
      <w:r>
        <w:rPr>
          <w:rFonts w:ascii="Arial" w:cs="Arial" w:eastAsia="Arial" w:hAnsi="Arial"/>
          <w:b w:val="false"/>
          <w:bCs w:val="false"/>
          <w:i w:val="false"/>
          <w:iCs w:val="false"/>
          <w:sz w:val="22"/>
          <w:szCs w:val="22"/>
        </w:rPr>
        <w:t xml:space="preserve">Jeff Pierson</w:t>
      </w:r>
    </w:p>
    <w:p>
      <w:pPr>
        <w:spacing w:after="80" w:before="0" w:line="360"/>
        <w:jc w:val="center"/>
      </w:pPr>
      <w:r>
        <w:rPr>
          <w:rFonts w:ascii="Arial" w:cs="Arial" w:eastAsia="Arial" w:hAnsi="Arial"/>
          <w:b w:val="false"/>
          <w:bCs w:val="false"/>
          <w:i w:val="false"/>
          <w:iCs w:val="false"/>
          <w:sz w:val="22"/>
          <w:szCs w:val="22"/>
        </w:rPr>
        <w:t xml:space="preserve">March 2026</w:t>
      </w:r>
    </w:p>
    <w:p>
      <w:pPr>
        <w:spacing w:after="200" w:before="0" w:line="360"/>
        <w:jc w:val="center"/>
      </w:pPr>
      <w:r>
        <w:rPr>
          <w:rFonts w:ascii="Arial" w:cs="Arial" w:eastAsia="Arial" w:hAnsi="Arial"/>
          <w:b w:val="false"/>
          <w:bCs w:val="false"/>
          <w:i w:val="false"/>
          <w:iCs w:val="false"/>
          <w:sz w:val="22"/>
          <w:szCs w:val="22"/>
        </w:rPr>
        <w:t xml:space="preserve">Jerome County, Idaho</w:t>
      </w:r>
    </w:p>
    <w:p>
      <w:pPr>
        <w:spacing w:after="200" w:before="0" w:line="360"/>
        <w:jc w:val="center"/>
      </w:pPr>
      <w:r>
        <w:rPr>
          <w:rFonts w:ascii="Arial" w:cs="Arial" w:eastAsia="Arial" w:hAnsi="Arial"/>
          <w:b w:val="false"/>
          <w:bCs w:val="false"/>
          <w:i w:val="false"/>
          <w:iCs w:val="false"/>
          <w:sz w:val="22"/>
          <w:szCs w:val="22"/>
        </w:rPr>
        <w:t xml:space="preserve">jeffapierson.substack.com</w:t>
      </w:r>
    </w:p>
    <w:p>
      <w:pPr>
        <w:pageBreakBefore/>
        <w:spacing w:after="0" w:before="0" w:line="360"/>
      </w:pPr>
      <w:r>
        <w:rPr>
          <w:rFonts w:ascii="Arial" w:cs="Arial" w:eastAsia="Arial" w:hAnsi="Arial"/>
          <w:b w:val="false"/>
          <w:bCs w:val="false"/>
          <w:i w:val="false"/>
          <w:iCs w:val="false"/>
          <w:sz w:val="22"/>
          <w:szCs w:val="22"/>
        </w:rPr>
        <w:t xml:space="preserve"/>
      </w:r>
    </w:p>
    <w:p>
      <w:pPr>
        <w:spacing w:after="200" w:before="300" w:line="360"/>
      </w:pPr>
      <w:r>
        <w:rPr>
          <w:rFonts w:ascii="Arial" w:cs="Arial" w:eastAsia="Arial" w:hAnsi="Arial"/>
          <w:b/>
          <w:bCs/>
          <w:i w:val="false"/>
          <w:iCs w:val="false"/>
          <w:sz w:val="22"/>
          <w:szCs w:val="22"/>
        </w:rPr>
        <w:t xml:space="preserve">I. THE QUESTION BEFORE RURAL COMMUNITIES</w:t>
      </w:r>
    </w:p>
    <w:p>
      <w:pPr>
        <w:spacing w:after="200" w:before="0" w:line="360"/>
      </w:pPr>
      <w:r>
        <w:rPr>
          <w:rFonts w:ascii="Arial" w:cs="Arial" w:eastAsia="Arial" w:hAnsi="Arial"/>
          <w:b w:val="false"/>
          <w:bCs w:val="false"/>
          <w:i w:val="false"/>
          <w:iCs w:val="false"/>
          <w:sz w:val="22"/>
          <w:szCs w:val="22"/>
        </w:rPr>
        <w:t xml:space="preserve">There is a conversation happening in county commission chambers, planning and zoning meetings, and utility commission hearings across the country that the industry funding these projects would prefer communities not have. It is about who actually pays for hyperscale energy infrastructure — wind farms, solar installations, battery storage, data centers — and whether the communities that bear the costs have any legal right to say no.</w:t>
      </w:r>
    </w:p>
    <w:p>
      <w:pPr>
        <w:spacing w:after="200" w:before="0" w:line="360"/>
      </w:pPr>
      <w:r>
        <w:rPr>
          <w:rFonts w:ascii="Arial" w:cs="Arial" w:eastAsia="Arial" w:hAnsi="Arial"/>
          <w:b w:val="false"/>
          <w:bCs w:val="false"/>
          <w:i w:val="false"/>
          <w:iCs w:val="false"/>
          <w:sz w:val="22"/>
          <w:szCs w:val="22"/>
        </w:rPr>
        <w:t xml:space="preserve">The industry answer is rehearsed: tax revenue, jobs, economic development. The real answer is more complicated and far less flattering to the developers writing the checks.</w:t>
      </w:r>
    </w:p>
    <w:p>
      <w:pPr>
        <w:spacing w:after="200" w:before="0" w:line="360"/>
      </w:pPr>
      <w:r>
        <w:rPr>
          <w:rFonts w:ascii="Arial" w:cs="Arial" w:eastAsia="Arial" w:hAnsi="Arial"/>
          <w:b w:val="false"/>
          <w:bCs w:val="false"/>
          <w:i w:val="false"/>
          <w:iCs w:val="false"/>
          <w:sz w:val="22"/>
          <w:szCs w:val="22"/>
        </w:rPr>
        <w:t xml:space="preserve">This paper addresses three interconnected questions: whether large-scale energy and data center projects impose measurable, documented costs on surrounding communities; whether affected residents have a legal and constitutional right to meaningful notice and participation before those costs are imposed; and whether the limitation of property rights based on community impact is a legitimate exercise of government authority. The answer to all three is yes.</w:t>
      </w:r>
    </w:p>
    <w:p>
      <w:pPr>
        <w:spacing w:after="200" w:before="300" w:line="360"/>
      </w:pPr>
      <w:r>
        <w:rPr>
          <w:rFonts w:ascii="Arial" w:cs="Arial" w:eastAsia="Arial" w:hAnsi="Arial"/>
          <w:b/>
          <w:bCs/>
          <w:i w:val="false"/>
          <w:iCs w:val="false"/>
          <w:sz w:val="22"/>
          <w:szCs w:val="22"/>
        </w:rPr>
        <w:t xml:space="preserve">II. PROPERTY VALUES: THE EVIDENCE IS NOT NEUTRAL</w:t>
      </w:r>
    </w:p>
    <w:p>
      <w:pPr>
        <w:spacing w:after="200" w:before="0" w:line="360"/>
      </w:pPr>
      <w:r>
        <w:rPr>
          <w:rFonts w:ascii="Arial" w:cs="Arial" w:eastAsia="Arial" w:hAnsi="Arial"/>
          <w:b w:val="false"/>
          <w:bCs w:val="false"/>
          <w:i w:val="false"/>
          <w:iCs w:val="false"/>
          <w:sz w:val="22"/>
          <w:szCs w:val="22"/>
        </w:rPr>
        <w:t xml:space="preserve">The research on how large energy projects affect nearby property values is mixed — but the pattern that emerges from the complexity is instructive.</w:t>
      </w:r>
    </w:p>
    <w:p>
      <w:pPr>
        <w:spacing w:after="120" w:before="160" w:line="360"/>
      </w:pPr>
      <w:r>
        <w:rPr>
          <w:rFonts w:ascii="Arial" w:cs="Arial" w:eastAsia="Arial" w:hAnsi="Arial"/>
          <w:b/>
          <w:bCs/>
          <w:i w:val="false"/>
          <w:iCs w:val="false"/>
          <w:sz w:val="22"/>
          <w:szCs w:val="22"/>
        </w:rPr>
        <w:t xml:space="preserve">A. Data Centers</w:t>
      </w:r>
    </w:p>
    <w:p>
      <w:pPr>
        <w:spacing w:after="200" w:before="0" w:line="360"/>
      </w:pPr>
      <w:r>
        <w:rPr>
          <w:rFonts w:ascii="Arial" w:cs="Arial" w:eastAsia="Arial" w:hAnsi="Arial"/>
          <w:b w:val="false"/>
          <w:bCs w:val="false"/>
          <w:i w:val="false"/>
          <w:iCs w:val="false"/>
          <w:sz w:val="22"/>
          <w:szCs w:val="22"/>
        </w:rPr>
        <w:t xml:space="preserve">The most-cited study, conducted by the Center for Regional Analysis at George Mason University examining Northern Virginia, found that proximity to data centers did not create a persistent drag on home values in that market. But Northern Virginia is the most data-center-saturated market in the world — approximately 150 hyperscale facilities housing nearly 35% of global hyperscale concentration. The infrastructure, fiber, power, and workforce already exist at a scale unmatched anywhere.</w:t>
      </w:r>
    </w:p>
    <w:p>
      <w:pPr>
        <w:spacing w:after="200" w:before="0" w:line="360"/>
      </w:pPr>
      <w:r>
        <w:rPr>
          <w:rFonts w:ascii="Arial" w:cs="Arial" w:eastAsia="Arial" w:hAnsi="Arial"/>
          <w:b w:val="false"/>
          <w:bCs w:val="false"/>
          <w:i w:val="false"/>
          <w:iCs w:val="false"/>
          <w:sz w:val="22"/>
          <w:szCs w:val="22"/>
        </w:rPr>
        <w:t xml:space="preserve">The result is that data centers in Loudoun County are not comparable to a proposed data center in Jerome County, Idaho. The conditions that produce neutral property value effects in Northern Virginia — existing industrial character, dense fiber infrastructure, metropolitan labor market — do not exist in rural agricultural communities.</w:t>
      </w:r>
    </w:p>
    <w:p>
      <w:pPr>
        <w:spacing w:after="200" w:before="0" w:line="360"/>
      </w:pPr>
      <w:r>
        <w:rPr>
          <w:rFonts w:ascii="Arial" w:cs="Arial" w:eastAsia="Arial" w:hAnsi="Arial"/>
          <w:b w:val="false"/>
          <w:bCs w:val="false"/>
          <w:i w:val="false"/>
          <w:iCs w:val="false"/>
          <w:sz w:val="22"/>
          <w:szCs w:val="22"/>
        </w:rPr>
        <w:t xml:space="preserve">Data centers bring tangible benefits including jobs and economic development, but they also alter the local tax base, bring noise pollution, high electricity usage, and water consumption, posing environmental and quality-of-life concerns for residents living nearby.</w:t>
      </w:r>
    </w:p>
    <w:p>
      <w:pPr>
        <w:spacing w:after="200" w:before="0" w:line="360"/>
        <w:ind w:left="720"/>
      </w:pPr>
      <w:r>
        <w:rPr>
          <w:rFonts w:ascii="Arial" w:cs="Arial" w:eastAsia="Arial" w:hAnsi="Arial"/>
          <w:b w:val="false"/>
          <w:bCs w:val="false"/>
          <w:i/>
          <w:iCs/>
          <w:sz w:val="20"/>
          <w:szCs w:val="20"/>
        </w:rPr>
        <w:t xml:space="preserve">Congressional Research Service, "Data Centers: Background and Key Policy Issues," 2024.</w:t>
      </w:r>
    </w:p>
    <w:p>
      <w:pPr>
        <w:spacing w:after="120" w:before="160" w:line="360"/>
      </w:pPr>
      <w:r>
        <w:rPr>
          <w:rFonts w:ascii="Arial" w:cs="Arial" w:eastAsia="Arial" w:hAnsi="Arial"/>
          <w:b/>
          <w:bCs/>
          <w:i w:val="false"/>
          <w:iCs w:val="false"/>
          <w:sz w:val="22"/>
          <w:szCs w:val="22"/>
        </w:rPr>
        <w:t xml:space="preserve">B. Wind and Solar</w:t>
      </w:r>
    </w:p>
    <w:p>
      <w:pPr>
        <w:spacing w:after="200" w:before="0" w:line="360"/>
      </w:pPr>
      <w:r>
        <w:rPr>
          <w:rFonts w:ascii="Arial" w:cs="Arial" w:eastAsia="Arial" w:hAnsi="Arial"/>
          <w:b w:val="false"/>
          <w:bCs w:val="false"/>
          <w:i w:val="false"/>
          <w:iCs w:val="false"/>
          <w:sz w:val="22"/>
          <w:szCs w:val="22"/>
        </w:rPr>
        <w:t xml:space="preserve">For utility-scale wind and solar, the findings are less favorable to developers. Results that average effects across all sites find negative property value impacts ranging from 1.5% to 3.6%, equal to reductions in housing values of between $4,721 and $11,330 (adjusted to 2019 levels) for homes near utility-scale solar arrays.</w:t>
      </w:r>
    </w:p>
    <w:p>
      <w:pPr>
        <w:spacing w:after="200" w:before="0" w:line="360"/>
        <w:ind w:left="720"/>
      </w:pPr>
      <w:r>
        <w:rPr>
          <w:rFonts w:ascii="Arial" w:cs="Arial" w:eastAsia="Arial" w:hAnsi="Arial"/>
          <w:b w:val="false"/>
          <w:bCs w:val="false"/>
          <w:i/>
          <w:iCs/>
          <w:sz w:val="20"/>
          <w:szCs w:val="20"/>
        </w:rPr>
        <w:t xml:space="preserve">Hoen et al., PNAS 2025; see also Garbacz et al., "Examining the Impact of Utility-Scale Solar on Property Values," 2023.</w:t>
      </w:r>
    </w:p>
    <w:p>
      <w:pPr>
        <w:spacing w:after="200" w:before="0" w:line="360"/>
      </w:pPr>
      <w:r>
        <w:rPr>
          <w:rFonts w:ascii="Arial" w:cs="Arial" w:eastAsia="Arial" w:hAnsi="Arial"/>
          <w:b w:val="false"/>
          <w:bCs w:val="false"/>
          <w:i w:val="false"/>
          <w:iCs w:val="false"/>
          <w:sz w:val="22"/>
          <w:szCs w:val="22"/>
        </w:rPr>
        <w:t xml:space="preserve">The distribution matters enormously. Homes within 0.5 miles of a large-scale PV project experience an average price reduction of 1.5% compared to homes 2–4 miles away, with statistically significant effects only measurable within 1 mile — and these effects concentrate in rural locations, on agricultural land, for larger projects, and for rural homes.</w:t>
      </w:r>
    </w:p>
    <w:p>
      <w:pPr>
        <w:spacing w:after="200" w:before="0" w:line="360"/>
        <w:ind w:left="720"/>
      </w:pPr>
      <w:r>
        <w:rPr>
          <w:rFonts w:ascii="Arial" w:cs="Arial" w:eastAsia="Arial" w:hAnsi="Arial"/>
          <w:b w:val="false"/>
          <w:bCs w:val="false"/>
          <w:i/>
          <w:iCs/>
          <w:sz w:val="20"/>
          <w:szCs w:val="20"/>
        </w:rPr>
        <w:t xml:space="preserve">Hoen et al., Lawrence Berkeley National Laboratory, Energy Policy, 2023.</w:t>
      </w:r>
    </w:p>
    <w:p>
      <w:pPr>
        <w:spacing w:after="200" w:before="0" w:line="360"/>
      </w:pPr>
      <w:r>
        <w:rPr>
          <w:rFonts w:ascii="Arial" w:cs="Arial" w:eastAsia="Arial" w:hAnsi="Arial"/>
          <w:b w:val="false"/>
          <w:bCs w:val="false"/>
          <w:i w:val="false"/>
          <w:iCs w:val="false"/>
          <w:sz w:val="22"/>
          <w:szCs w:val="22"/>
        </w:rPr>
        <w:t xml:space="preserve">The negative effect concentrates precisely in the conditions that describe most proposed large projects in Idaho and the Mountain West.</w:t>
      </w:r>
    </w:p>
    <w:p>
      <w:pPr>
        <w:spacing w:after="200" w:before="0" w:line="360"/>
      </w:pPr>
      <w:r>
        <w:rPr>
          <w:rFonts w:ascii="Arial" w:cs="Arial" w:eastAsia="Arial" w:hAnsi="Arial"/>
          <w:b w:val="false"/>
          <w:bCs w:val="false"/>
          <w:i w:val="false"/>
          <w:iCs w:val="false"/>
          <w:sz w:val="22"/>
          <w:szCs w:val="22"/>
        </w:rPr>
        <w:t xml:space="preserve">Wind turbines present a different picture. Prior to construction, home values within a half-mile to a mile typically decline 5–10%, with the decline beginning as soon as the announcement comes out and remaining lower for quite some time.</w:t>
      </w:r>
    </w:p>
    <w:p>
      <w:pPr>
        <w:spacing w:after="200" w:before="0" w:line="360"/>
        <w:ind w:left="720"/>
      </w:pPr>
      <w:r>
        <w:rPr>
          <w:rFonts w:ascii="Arial" w:cs="Arial" w:eastAsia="Arial" w:hAnsi="Arial"/>
          <w:b w:val="false"/>
          <w:bCs w:val="false"/>
          <w:i/>
          <w:iCs/>
          <w:sz w:val="20"/>
          <w:szCs w:val="20"/>
        </w:rPr>
        <w:t xml:space="preserve">Hoen et al., LBNL, "A Spatial Hedonic Analysis of the Effects of Wind Energy Facilities on Surrounding Property Values," 2009–2023 series.</w:t>
      </w:r>
    </w:p>
    <w:p>
      <w:pPr>
        <w:spacing w:after="200" w:before="300" w:line="360"/>
      </w:pPr>
      <w:r>
        <w:rPr>
          <w:rFonts w:ascii="Arial" w:cs="Arial" w:eastAsia="Arial" w:hAnsi="Arial"/>
          <w:b/>
          <w:bCs/>
          <w:i w:val="false"/>
          <w:iCs w:val="false"/>
          <w:sz w:val="22"/>
          <w:szCs w:val="22"/>
        </w:rPr>
        <w:t xml:space="preserve">III. THE PROPERTY TAX PROMISE: REAL BENEFITS WITH HIDDEN STRINGS</w:t>
      </w:r>
    </w:p>
    <w:p>
      <w:pPr>
        <w:spacing w:after="200" w:before="0" w:line="360"/>
      </w:pPr>
      <w:r>
        <w:rPr>
          <w:rFonts w:ascii="Arial" w:cs="Arial" w:eastAsia="Arial" w:hAnsi="Arial"/>
          <w:b w:val="false"/>
          <w:bCs w:val="false"/>
          <w:i w:val="false"/>
          <w:iCs w:val="false"/>
          <w:sz w:val="22"/>
          <w:szCs w:val="22"/>
        </w:rPr>
        <w:t xml:space="preserve">Large energy projects and data centers do generate significant property tax revenue. But the standard playbook is: announce the economic development opportunity, negotiate a tax abatement or PILT agreement reducing the tax burden by 50–90% for 10–20 years, then present community meetings where projections omit the abatement terms.</w:t>
      </w:r>
    </w:p>
    <w:p>
      <w:pPr>
        <w:spacing w:after="200" w:before="0" w:line="360"/>
      </w:pPr>
      <w:r>
        <w:rPr>
          <w:rFonts w:ascii="Arial" w:cs="Arial" w:eastAsia="Arial" w:hAnsi="Arial"/>
          <w:b w:val="false"/>
          <w:bCs w:val="false"/>
          <w:i w:val="false"/>
          <w:iCs w:val="false"/>
          <w:sz w:val="22"/>
          <w:szCs w:val="22"/>
        </w:rPr>
        <w:t xml:space="preserve">The result: property tax revenue the community receives during the first decade is a fraction of what the unadjusted assessment would generate — while infrastructure costs, grid upgrades, road maintenance, and utility rate effects are borne immediately and in full by existing residents and ratepayers.</w:t>
      </w:r>
    </w:p>
    <w:p>
      <w:pPr>
        <w:spacing w:after="200" w:before="0" w:line="360"/>
      </w:pPr>
      <w:r>
        <w:rPr>
          <w:rFonts w:ascii="Arial" w:cs="Arial" w:eastAsia="Arial" w:hAnsi="Arial"/>
          <w:b w:val="false"/>
          <w:bCs w:val="false"/>
          <w:i w:val="false"/>
          <w:iCs w:val="false"/>
          <w:sz w:val="22"/>
          <w:szCs w:val="22"/>
        </w:rPr>
        <w:t xml:space="preserve">There is also the speculative land value effect. Developers speculate on land adjacent to known development corridors. This drives up prices, creating ripple effects across local housing and agricultural markets. The family that has farmed ground for three generations does not benefit from increased assessed value — they bear it, through higher lease rates or inability to compete with acquisition offers.</w:t>
      </w:r>
    </w:p>
    <w:p>
      <w:pPr>
        <w:spacing w:after="200" w:before="300" w:line="360"/>
      </w:pPr>
      <w:r>
        <w:rPr>
          <w:rFonts w:ascii="Arial" w:cs="Arial" w:eastAsia="Arial" w:hAnsi="Arial"/>
          <w:b/>
          <w:bCs/>
          <w:i w:val="false"/>
          <w:iCs w:val="false"/>
          <w:sz w:val="22"/>
          <w:szCs w:val="22"/>
        </w:rPr>
        <w:t xml:space="preserve">IV. THE UTILITY RATE EFFECT: THE HIDDEN TAX NOBODY VOTED FOR</w:t>
      </w:r>
    </w:p>
    <w:p>
      <w:pPr>
        <w:spacing w:after="200" w:before="0" w:line="360"/>
      </w:pPr>
      <w:r>
        <w:rPr>
          <w:rFonts w:ascii="Arial" w:cs="Arial" w:eastAsia="Arial" w:hAnsi="Arial"/>
          <w:b w:val="false"/>
          <w:bCs w:val="false"/>
          <w:i w:val="false"/>
          <w:iCs w:val="false"/>
          <w:sz w:val="22"/>
          <w:szCs w:val="22"/>
        </w:rPr>
        <w:t xml:space="preserve">Before 2019, electricity prices had been flat at around 13 cents per kWh for more than a decade. By end of 2025, average prices increased to 19 cents/kWh — about 27% more.</w:t>
      </w:r>
    </w:p>
    <w:p>
      <w:pPr>
        <w:spacing w:after="200" w:before="0" w:line="360"/>
        <w:ind w:left="720"/>
      </w:pPr>
      <w:r>
        <w:rPr>
          <w:rFonts w:ascii="Arial" w:cs="Arial" w:eastAsia="Arial" w:hAnsi="Arial"/>
          <w:b w:val="false"/>
          <w:bCs w:val="false"/>
          <w:i/>
          <w:iCs/>
          <w:sz w:val="20"/>
          <w:szCs w:val="20"/>
        </w:rPr>
        <w:t xml:space="preserve">U.S. EIA, Monthly Energy Review, 2025.</w:t>
      </w:r>
    </w:p>
    <w:p>
      <w:pPr>
        <w:spacing w:after="200" w:before="0" w:line="360"/>
      </w:pPr>
      <w:r>
        <w:rPr>
          <w:rFonts w:ascii="Arial" w:cs="Arial" w:eastAsia="Arial" w:hAnsi="Arial"/>
          <w:b w:val="false"/>
          <w:bCs w:val="false"/>
          <w:i w:val="false"/>
          <w:iCs w:val="false"/>
          <w:sz w:val="22"/>
          <w:szCs w:val="22"/>
        </w:rPr>
        <w:t xml:space="preserve">In states with high data center concentration like Virginia, electricity prices have increased by up to 267% over five years.</w:t>
      </w:r>
    </w:p>
    <w:p>
      <w:pPr>
        <w:spacing w:after="200" w:before="0" w:line="360"/>
        <w:ind w:left="720"/>
      </w:pPr>
      <w:r>
        <w:rPr>
          <w:rFonts w:ascii="Arial" w:cs="Arial" w:eastAsia="Arial" w:hAnsi="Arial"/>
          <w:b w:val="false"/>
          <w:bCs w:val="false"/>
          <w:i/>
          <w:iCs/>
          <w:sz w:val="20"/>
          <w:szCs w:val="20"/>
        </w:rPr>
        <w:t xml:space="preserve">Virginia SCC filings; CNBC reporting, 2025.</w:t>
      </w:r>
    </w:p>
    <w:p>
      <w:pPr>
        <w:spacing w:after="200" w:before="0" w:line="360"/>
      </w:pPr>
      <w:r>
        <w:rPr>
          <w:rFonts w:ascii="Arial" w:cs="Arial" w:eastAsia="Arial" w:hAnsi="Arial"/>
          <w:b w:val="false"/>
          <w:bCs w:val="false"/>
          <w:i w:val="false"/>
          <w:iCs w:val="false"/>
          <w:sz w:val="22"/>
          <w:szCs w:val="22"/>
        </w:rPr>
        <w:t xml:space="preserve">The mechanism: utilities build new infrastructure to serve data centers and spread costs to all ratepayers. When demand outpaces supply, market-rate energy prices increase. Utilities requested more than $29 billion in rate increases in the first half of 2025 alone — double the prior year.</w:t>
      </w:r>
    </w:p>
    <w:p>
      <w:pPr>
        <w:spacing w:after="200" w:before="0" w:line="360"/>
        <w:ind w:left="720"/>
      </w:pPr>
      <w:r>
        <w:rPr>
          <w:rFonts w:ascii="Arial" w:cs="Arial" w:eastAsia="Arial" w:hAnsi="Arial"/>
          <w:b w:val="false"/>
          <w:bCs w:val="false"/>
          <w:i/>
          <w:iCs/>
          <w:sz w:val="20"/>
          <w:szCs w:val="20"/>
        </w:rPr>
        <w:t xml:space="preserve">S&amp;P Global Market Intelligence, Regulatory Research Associates, 2025.</w:t>
      </w:r>
    </w:p>
    <w:p>
      <w:pPr>
        <w:spacing w:after="200" w:before="0" w:line="360"/>
      </w:pPr>
      <w:r>
        <w:rPr>
          <w:rFonts w:ascii="Arial" w:cs="Arial" w:eastAsia="Arial" w:hAnsi="Arial"/>
          <w:b w:val="false"/>
          <w:bCs w:val="false"/>
          <w:i w:val="false"/>
          <w:iCs w:val="false"/>
          <w:sz w:val="22"/>
          <w:szCs w:val="22"/>
        </w:rPr>
        <w:t xml:space="preserve">In the PJM market (Illinois to North Carolina), data centers accounted for an estimated $9.3 billion price increase in the 2025–26 capacity market. Average residential bills expected to rise $18/month in western Maryland, $16/month in Ohio.</w:t>
      </w:r>
    </w:p>
    <w:p>
      <w:pPr>
        <w:spacing w:after="200" w:before="0" w:line="360"/>
        <w:ind w:left="720"/>
      </w:pPr>
      <w:r>
        <w:rPr>
          <w:rFonts w:ascii="Arial" w:cs="Arial" w:eastAsia="Arial" w:hAnsi="Arial"/>
          <w:b w:val="false"/>
          <w:bCs w:val="false"/>
          <w:i/>
          <w:iCs/>
          <w:sz w:val="20"/>
          <w:szCs w:val="20"/>
        </w:rPr>
        <w:t xml:space="preserve">PJM Interconnection, 2025-26 Base Residual Auction results; NPR/AP reporting.</w:t>
      </w:r>
    </w:p>
    <w:p>
      <w:pPr>
        <w:spacing w:after="200" w:before="0" w:line="360"/>
      </w:pPr>
      <w:r>
        <w:rPr>
          <w:rFonts w:ascii="Arial" w:cs="Arial" w:eastAsia="Arial" w:hAnsi="Arial"/>
          <w:b w:val="false"/>
          <w:bCs w:val="false"/>
          <w:i w:val="false"/>
          <w:iCs w:val="false"/>
          <w:sz w:val="22"/>
          <w:szCs w:val="22"/>
        </w:rPr>
        <w:t xml:space="preserve">For rural households that spend proportionally more on energy, these are not abstractions — they compete with groceries, fuel, and farm inputs.</w:t>
      </w:r>
    </w:p>
    <w:p>
      <w:pPr>
        <w:spacing w:after="200" w:before="300" w:line="360"/>
      </w:pPr>
      <w:r>
        <w:rPr>
          <w:rFonts w:ascii="Arial" w:cs="Arial" w:eastAsia="Arial" w:hAnsi="Arial"/>
          <w:b/>
          <w:bCs/>
          <w:i w:val="false"/>
          <w:iCs w:val="false"/>
          <w:sz w:val="22"/>
          <w:szCs w:val="22"/>
        </w:rPr>
        <w:t xml:space="preserve">V. WHEN DOES THE RIGHT TO BUILD GET TRUMPED?</w:t>
      </w:r>
    </w:p>
    <w:p>
      <w:pPr>
        <w:spacing w:after="120" w:before="160" w:line="360"/>
      </w:pPr>
      <w:r>
        <w:rPr>
          <w:rFonts w:ascii="Arial" w:cs="Arial" w:eastAsia="Arial" w:hAnsi="Arial"/>
          <w:b/>
          <w:bCs/>
          <w:i w:val="false"/>
          <w:iCs w:val="false"/>
          <w:sz w:val="22"/>
          <w:szCs w:val="22"/>
        </w:rPr>
        <w:t xml:space="preserve">A. The Legal Framework</w:t>
      </w:r>
    </w:p>
    <w:p>
      <w:pPr>
        <w:spacing w:after="200" w:before="0" w:line="360"/>
      </w:pPr>
      <w:r>
        <w:rPr>
          <w:rFonts w:ascii="Arial" w:cs="Arial" w:eastAsia="Arial" w:hAnsi="Arial"/>
          <w:b w:val="false"/>
          <w:bCs w:val="false"/>
          <w:i w:val="false"/>
          <w:iCs w:val="false"/>
          <w:sz w:val="22"/>
          <w:szCs w:val="22"/>
        </w:rPr>
        <w:t xml:space="preserve">Property development is not an absolute right. It is a conditional right within a framework of public regulation. The police power is "ample to lay out zones where family values, youth values, and the blessings of quiet seclusion and clean air make the area a sanctuary for people."</w:t>
      </w:r>
    </w:p>
    <w:p>
      <w:pPr>
        <w:spacing w:after="200" w:before="0" w:line="360"/>
        <w:ind w:left="720"/>
      </w:pPr>
      <w:r>
        <w:rPr>
          <w:rFonts w:ascii="Arial" w:cs="Arial" w:eastAsia="Arial" w:hAnsi="Arial"/>
          <w:b w:val="false"/>
          <w:bCs w:val="false"/>
          <w:i/>
          <w:iCs/>
          <w:sz w:val="20"/>
          <w:szCs w:val="20"/>
        </w:rPr>
        <w:t xml:space="preserve">Village of Euclid v. Ambler Realty Co., 272 U.S. 365 (1926).</w:t>
      </w:r>
    </w:p>
    <w:p>
      <w:pPr>
        <w:spacing w:after="200" w:before="0" w:line="360"/>
      </w:pPr>
      <w:r>
        <w:rPr>
          <w:rFonts w:ascii="Arial" w:cs="Arial" w:eastAsia="Arial" w:hAnsi="Arial"/>
          <w:b w:val="false"/>
          <w:bCs w:val="false"/>
          <w:i w:val="false"/>
          <w:iCs w:val="false"/>
          <w:sz w:val="22"/>
          <w:szCs w:val="22"/>
        </w:rPr>
        <w:t xml:space="preserve">The Takings Clause limits the police power, requiring compensation when regulation "goes too far." But the Penn Central test asks: economic impact on the owner, interference with investment-backed expectations, and character of the government action. A regulation that merely limits the manner of use or denies a particular development type is generally valid — even if it significantly reduces potential earnings.</w:t>
      </w:r>
    </w:p>
    <w:p>
      <w:pPr>
        <w:spacing w:after="200" w:before="0" w:line="360"/>
      </w:pPr>
      <w:r>
        <w:rPr>
          <w:rFonts w:ascii="Arial" w:cs="Arial" w:eastAsia="Arial" w:hAnsi="Arial"/>
          <w:b w:val="false"/>
          <w:bCs w:val="false"/>
          <w:i w:val="false"/>
          <w:iCs w:val="false"/>
          <w:sz w:val="22"/>
          <w:szCs w:val="22"/>
        </w:rPr>
        <w:t xml:space="preserve">The key principle: "A regulation that results in a diminution of value is not considered a taking and is within the police powers, as a property owner does not have a vested right in maximizing the value of his property."</w:t>
      </w:r>
    </w:p>
    <w:p>
      <w:pPr>
        <w:spacing w:after="200" w:before="0" w:line="360"/>
        <w:ind w:left="720"/>
      </w:pPr>
      <w:r>
        <w:rPr>
          <w:rFonts w:ascii="Arial" w:cs="Arial" w:eastAsia="Arial" w:hAnsi="Arial"/>
          <w:b w:val="false"/>
          <w:bCs w:val="false"/>
          <w:i/>
          <w:iCs/>
          <w:sz w:val="20"/>
          <w:szCs w:val="20"/>
        </w:rPr>
        <w:t xml:space="preserve">Penn Central Transportation Co. v. City of New York, 438 U.S. 104 (1978); see also Agins v. City of Tiburon, 447 U.S. 255 (1980).</w:t>
      </w:r>
    </w:p>
    <w:p>
      <w:pPr>
        <w:spacing w:after="200" w:before="0" w:line="360"/>
      </w:pPr>
      <w:r>
        <w:rPr>
          <w:rFonts w:ascii="Arial" w:cs="Arial" w:eastAsia="Arial" w:hAnsi="Arial"/>
          <w:b w:val="false"/>
          <w:bCs w:val="false"/>
          <w:i w:val="false"/>
          <w:iCs w:val="false"/>
          <w:sz w:val="22"/>
          <w:szCs w:val="22"/>
        </w:rPr>
        <w:t xml:space="preserve">A developer does not have a constitutional right to the highest and best use of their land. They have a right to reasonable economic use. Denying a 400-MW solar installation on agricultural land does not take the land — it declines to permit a particular use. The land remains usable for agriculture.</w:t>
      </w:r>
    </w:p>
    <w:p>
      <w:pPr>
        <w:spacing w:after="120" w:before="160" w:line="360"/>
      </w:pPr>
      <w:r>
        <w:rPr>
          <w:rFonts w:ascii="Arial" w:cs="Arial" w:eastAsia="Arial" w:hAnsi="Arial"/>
          <w:b/>
          <w:bCs/>
          <w:i w:val="false"/>
          <w:iCs w:val="false"/>
          <w:sz w:val="22"/>
          <w:szCs w:val="22"/>
        </w:rPr>
        <w:t xml:space="preserve">B. Nexus and Proportionality</w:t>
      </w:r>
    </w:p>
    <w:p>
      <w:pPr>
        <w:spacing w:after="200" w:before="0" w:line="360"/>
      </w:pPr>
      <w:r>
        <w:rPr>
          <w:rFonts w:ascii="Arial" w:cs="Arial" w:eastAsia="Arial" w:hAnsi="Arial"/>
          <w:b w:val="false"/>
          <w:bCs w:val="false"/>
          <w:i w:val="false"/>
          <w:iCs w:val="false"/>
          <w:sz w:val="22"/>
          <w:szCs w:val="22"/>
        </w:rPr>
        <w:t xml:space="preserve">Where conditions are imposed, the law requires "nexus" and "rough proportionality." Conditions must be reasonably related to impacts and proportional to them.</w:t>
      </w:r>
    </w:p>
    <w:p>
      <w:pPr>
        <w:spacing w:after="200" w:before="0" w:line="360"/>
        <w:ind w:left="720"/>
      </w:pPr>
      <w:r>
        <w:rPr>
          <w:rFonts w:ascii="Arial" w:cs="Arial" w:eastAsia="Arial" w:hAnsi="Arial"/>
          <w:b w:val="false"/>
          <w:bCs w:val="false"/>
          <w:i/>
          <w:iCs/>
          <w:sz w:val="20"/>
          <w:szCs w:val="20"/>
        </w:rPr>
        <w:t xml:space="preserve">Nollan v. California Coastal Commission, 483 U.S. 825 (1987); Dolan v. City of Tigard, 512 U.S. 374 (1994).</w:t>
      </w:r>
    </w:p>
    <w:p>
      <w:pPr>
        <w:spacing w:after="200" w:before="0" w:line="360"/>
      </w:pPr>
      <w:r>
        <w:rPr>
          <w:rFonts w:ascii="Arial" w:cs="Arial" w:eastAsia="Arial" w:hAnsi="Arial"/>
          <w:b w:val="false"/>
          <w:bCs w:val="false"/>
          <w:i w:val="false"/>
          <w:iCs w:val="false"/>
          <w:sz w:val="22"/>
          <w:szCs w:val="22"/>
        </w:rPr>
        <w:t xml:space="preserve">This framework supports robust impact-based conditions. If a data center requires $50 million in transmission upgrades, requiring the developer to bear that cost is defensible. If a solar installation reduces neighboring property values, setbacks, screening, or compensation mechanisms have clear nexus.</w:t>
      </w:r>
    </w:p>
    <w:p>
      <w:pPr>
        <w:spacing w:after="200" w:before="0" w:line="360"/>
      </w:pPr>
      <w:r>
        <w:rPr>
          <w:rFonts w:ascii="Arial" w:cs="Arial" w:eastAsia="Arial" w:hAnsi="Arial"/>
          <w:b w:val="false"/>
          <w:bCs w:val="false"/>
          <w:i w:val="false"/>
          <w:iCs w:val="false"/>
          <w:sz w:val="22"/>
          <w:szCs w:val="22"/>
        </w:rPr>
        <w:t xml:space="preserve">What governments cannot do: impose arbitrary conditions or functionally prohibit a use without rational basis. What they can do: require developers to internalize the actual costs they impose.</w:t>
      </w:r>
    </w:p>
    <w:p>
      <w:pPr>
        <w:spacing w:after="200" w:before="300" w:line="360"/>
      </w:pPr>
      <w:r>
        <w:rPr>
          <w:rFonts w:ascii="Arial" w:cs="Arial" w:eastAsia="Arial" w:hAnsi="Arial"/>
          <w:b/>
          <w:bCs/>
          <w:i w:val="false"/>
          <w:iCs w:val="false"/>
          <w:sz w:val="22"/>
          <w:szCs w:val="22"/>
        </w:rPr>
        <w:t xml:space="preserve">VI. THE CASE FOR EXPANDED COMMUNITY NOTIFICATION</w:t>
      </w:r>
    </w:p>
    <w:p>
      <w:pPr>
        <w:spacing w:after="200" w:before="0" w:line="360"/>
      </w:pPr>
      <w:r>
        <w:rPr>
          <w:rFonts w:ascii="Arial" w:cs="Arial" w:eastAsia="Arial" w:hAnsi="Arial"/>
          <w:b w:val="false"/>
          <w:bCs w:val="false"/>
          <w:i w:val="false"/>
          <w:iCs w:val="false"/>
          <w:sz w:val="22"/>
          <w:szCs w:val="22"/>
        </w:rPr>
        <w:t xml:space="preserve">Every argument above depends on one prerequisite: that the community knows what is being proposed before the decision is made. Current notification standards in most rural counties are grossly inadequate for the scale of projects now being proposed.</w:t>
      </w:r>
    </w:p>
    <w:p>
      <w:pPr>
        <w:spacing w:after="200" w:before="0" w:line="360"/>
      </w:pPr>
      <w:r>
        <w:rPr>
          <w:rFonts w:ascii="Arial" w:cs="Arial" w:eastAsia="Arial" w:hAnsi="Arial"/>
          <w:b w:val="false"/>
          <w:bCs w:val="false"/>
          <w:i w:val="false"/>
          <w:iCs w:val="false"/>
          <w:sz w:val="22"/>
          <w:szCs w:val="22"/>
        </w:rPr>
        <w:t xml:space="preserve">The community agrees. In the </w:t>
      </w:r>
      <w:r>
        <w:rPr>
          <w:rFonts w:ascii="Arial" w:cs="Arial" w:eastAsia="Arial" w:hAnsi="Arial"/>
          <w:b/>
          <w:bCs/>
          <w:sz w:val="22"/>
          <w:szCs w:val="22"/>
        </w:rPr>
        <w:t xml:space="preserve">JTown Beacon Community Survey (March 2026, 65 respondents)</w:t>
      </w:r>
      <w:r>
        <w:rPr>
          <w:rFonts w:ascii="Arial" w:cs="Arial" w:eastAsia="Arial" w:hAnsi="Arial"/>
          <w:b w:val="false"/>
          <w:bCs w:val="false"/>
          <w:i w:val="false"/>
          <w:iCs w:val="false"/>
          <w:sz w:val="22"/>
          <w:szCs w:val="22"/>
        </w:rPr>
        <w:t xml:space="preserve">, Jerome County residents delivered an unambiguous mandate: </w:t>
      </w:r>
      <w:r>
        <w:rPr>
          <w:rFonts w:ascii="Arial" w:cs="Arial" w:eastAsia="Arial" w:hAnsi="Arial"/>
          <w:b/>
          <w:bCs/>
          <w:sz w:val="22"/>
          <w:szCs w:val="22"/>
        </w:rPr>
        <w:t xml:space="preserve">90.8% believe all county residents should be notified</w:t>
      </w:r>
      <w:r>
        <w:rPr>
          <w:rFonts w:ascii="Arial" w:cs="Arial" w:eastAsia="Arial" w:hAnsi="Arial"/>
          <w:b w:val="false"/>
          <w:bCs w:val="false"/>
          <w:i w:val="false"/>
          <w:iCs w:val="false"/>
          <w:sz w:val="22"/>
          <w:szCs w:val="22"/>
        </w:rPr>
        <w:t xml:space="preserve"> when a large-scale energy facility or data center is proposed (Q7). This is not a marginal preference—it is near-unanimity. The survey also found that 93.8% rate agricultural land preservation as important or extremely important (Q1), 93.7% oppose allowing large-scale energy development in agricultural zones (Q3), 80% say current guidelines are not strict enough (Q6), 87.7% say energy development should be limited to protect farmland and rural character (Q9), and 80% say the current approach needs significant revision (Q10). These results demonstrate that the regulatory framework proposed in this package reflects documented community consensus, not individual advocacy.</w:t>
      </w:r>
    </w:p>
    <w:p>
      <w:pPr>
        <w:spacing w:after="120" w:before="160" w:line="360"/>
      </w:pPr>
      <w:r>
        <w:rPr>
          <w:rFonts w:ascii="Arial" w:cs="Arial" w:eastAsia="Arial" w:hAnsi="Arial"/>
          <w:b/>
          <w:bCs/>
          <w:i w:val="false"/>
          <w:iCs w:val="false"/>
          <w:sz w:val="22"/>
          <w:szCs w:val="22"/>
        </w:rPr>
        <w:t xml:space="preserve">A. The Problem with Current Standards</w:t>
      </w:r>
    </w:p>
    <w:p>
      <w:pPr>
        <w:spacing w:after="200" w:before="0" w:line="360"/>
      </w:pPr>
      <w:r>
        <w:rPr>
          <w:rFonts w:ascii="Arial" w:cs="Arial" w:eastAsia="Arial" w:hAnsi="Arial"/>
          <w:b w:val="false"/>
          <w:bCs w:val="false"/>
          <w:i w:val="false"/>
          <w:iCs w:val="false"/>
          <w:sz w:val="22"/>
          <w:szCs w:val="22"/>
        </w:rPr>
        <w:t xml:space="preserve">Standard notification requirements — typically 300 to 1,320 feet from a project boundary — were designed for residential subdivisions, small commercial buildings, and minor zoning changes. They were never designed for 500-acre solar installations, 200-foot wind turbines, or hyperscale data centers drawing 100+ megawatts from the grid.</w:t>
      </w:r>
    </w:p>
    <w:p>
      <w:pPr>
        <w:spacing w:after="200" w:before="0" w:line="360"/>
      </w:pPr>
      <w:r>
        <w:rPr>
          <w:rFonts w:ascii="Arial" w:cs="Arial" w:eastAsia="Arial" w:hAnsi="Arial"/>
          <w:b w:val="false"/>
          <w:bCs w:val="false"/>
          <w:i w:val="false"/>
          <w:iCs w:val="false"/>
          <w:sz w:val="22"/>
          <w:szCs w:val="22"/>
        </w:rPr>
        <w:t xml:space="preserve">A 1,320-foot notice radius around a 500-acre solar project captures a fraction of the properties whose values, operations, and quality of life will be materially affected. The documented property value effects extend to at least 1 mile (LBNL 2023) and potentially 3 miles (PNAS 2025). Shadow flicker from wind turbines affects properties well beyond 1,320 feet. Noise from industrial facilities exceeds ambient levels at distances far beyond the standard radius. Utility rate effects and infrastructure costs affect every ratepayer in the county.</w:t>
      </w:r>
    </w:p>
    <w:p>
      <w:pPr>
        <w:spacing w:after="120" w:before="160" w:line="360"/>
      </w:pPr>
      <w:r>
        <w:rPr>
          <w:rFonts w:ascii="Arial" w:cs="Arial" w:eastAsia="Arial" w:hAnsi="Arial"/>
          <w:b/>
          <w:bCs/>
          <w:i w:val="false"/>
          <w:iCs w:val="false"/>
          <w:sz w:val="22"/>
          <w:szCs w:val="22"/>
        </w:rPr>
        <w:t xml:space="preserve">B. The Notification Standard Must Match the Impact Footprint</w:t>
      </w:r>
    </w:p>
    <w:p>
      <w:pPr>
        <w:spacing w:after="200" w:before="0" w:line="360"/>
      </w:pPr>
      <w:r>
        <w:rPr>
          <w:rFonts w:ascii="Arial" w:cs="Arial" w:eastAsia="Arial" w:hAnsi="Arial"/>
          <w:b w:val="false"/>
          <w:bCs w:val="false"/>
          <w:i w:val="false"/>
          <w:iCs w:val="false"/>
          <w:sz w:val="22"/>
          <w:szCs w:val="22"/>
        </w:rPr>
        <w:t xml:space="preserve">The principle is straightforward: if a project’s impacts are systemic and county-wide, then notification must be systemic and county-wide. For all medium- and large-scale energy and data center projects (Tier 2 and Tier 3): county-wide written notification or notice to all property owners within twenty-five (25) miles of the project boundary, whichever is greater.</w:t>
      </w:r>
    </w:p>
    <w:p>
      <w:pPr>
        <w:spacing w:after="200" w:before="0" w:line="360"/>
      </w:pPr>
      <w:r>
        <w:rPr>
          <w:rFonts w:ascii="Arial" w:cs="Arial" w:eastAsia="Arial" w:hAnsi="Arial"/>
          <w:b w:val="false"/>
          <w:bCs w:val="false"/>
          <w:i w:val="false"/>
          <w:iCs w:val="false"/>
          <w:sz w:val="22"/>
          <w:szCs w:val="22"/>
        </w:rPr>
        <w:t xml:space="preserve">This is not an incremental expansion from the current 1,320-foot standard — it is a recognition that the current standard was designed for a fundamentally different category of development. A 500-acre solar installation, a 200-foot wind turbine array, or a hyperscale data center drawing 100+ megawatts from the grid are not comparable to a residential subdivision or a small commercial building. Their impacts are systemic: utility rate increases affect every ratepayer in the service territory; grid infrastructure upgrades are socialized across all customers; groundwater depletion from data center cooling affects aquifer levels across the county; cumulative agricultural land conversion transforms the county’s economic base; and the precedent set by one approval shapes every subsequent application.</w:t>
      </w:r>
    </w:p>
    <w:p>
      <w:pPr>
        <w:spacing w:after="200" w:before="0" w:line="360"/>
      </w:pPr>
      <w:r>
        <w:rPr>
          <w:rFonts w:ascii="Arial" w:cs="Arial" w:eastAsia="Arial" w:hAnsi="Arial"/>
          <w:b w:val="false"/>
          <w:bCs w:val="false"/>
          <w:i w:val="false"/>
          <w:iCs w:val="false"/>
          <w:sz w:val="22"/>
          <w:szCs w:val="22"/>
        </w:rPr>
        <w:t xml:space="preserve">Most residents of rural counties have never experienced development at this scale. The full scope of cascading impacts — from property value diminishment to utility rate escalation to irreversible agricultural conversion — is not yet well understood by most of the people who will bear those costs. Maximum notification is not a burden on developers; it is the minimum prerequisite for informed consent by the community that will live with the consequences for decades.</w:t>
      </w:r>
    </w:p>
    <w:p>
      <w:pPr>
        <w:spacing w:after="200" w:before="0" w:line="360"/>
      </w:pPr>
      <w:r>
        <w:rPr>
          <w:rFonts w:ascii="Arial" w:cs="Arial" w:eastAsia="Arial" w:hAnsi="Arial"/>
          <w:b w:val="false"/>
          <w:bCs w:val="false"/>
          <w:i w:val="false"/>
          <w:iCs w:val="false"/>
          <w:sz w:val="22"/>
          <w:szCs w:val="22"/>
        </w:rPr>
        <w:t xml:space="preserve">The research supports this approach: property value effects are measurable to at least 1 mile (LBNL 2023) and potentially 3 miles (PNAS 2025); utility rate effects extend to every ratepayer in the county; shadow flicker modeling extends 1–2 miles; noise propagation from industrial facilities exceeds ambient levels far beyond project boundaries; and groundwater impacts from data center water consumption are aquifer-wide, not parcel-specific.</w:t>
      </w:r>
    </w:p>
    <w:p>
      <w:pPr>
        <w:spacing w:after="120" w:before="160" w:line="360"/>
      </w:pPr>
      <w:r>
        <w:rPr>
          <w:rFonts w:ascii="Arial" w:cs="Arial" w:eastAsia="Arial" w:hAnsi="Arial"/>
          <w:b/>
          <w:bCs/>
          <w:i w:val="false"/>
          <w:iCs w:val="false"/>
          <w:sz w:val="22"/>
          <w:szCs w:val="22"/>
        </w:rPr>
        <w:t xml:space="preserve">C. Notification Is Not Opposition — It Is Democracy</w:t>
      </w:r>
    </w:p>
    <w:p>
      <w:pPr>
        <w:spacing w:after="200" w:before="0" w:line="360"/>
      </w:pPr>
      <w:r>
        <w:rPr>
          <w:rFonts w:ascii="Arial" w:cs="Arial" w:eastAsia="Arial" w:hAnsi="Arial"/>
          <w:b w:val="false"/>
          <w:bCs w:val="false"/>
          <w:i w:val="false"/>
          <w:iCs w:val="false"/>
          <w:sz w:val="22"/>
          <w:szCs w:val="22"/>
        </w:rPr>
        <w:t xml:space="preserve">Expanding notification requirements does not predetermine outcomes. It does not ban projects or create a veto for neighbors. It ensures that the people whose lives, property values, and community character will be affected by a proposed project have the information necessary to participate in the decision.</w:t>
      </w:r>
    </w:p>
    <w:p>
      <w:pPr>
        <w:spacing w:after="200" w:before="0" w:line="360"/>
      </w:pPr>
      <w:r>
        <w:rPr>
          <w:rFonts w:ascii="Arial" w:cs="Arial" w:eastAsia="Arial" w:hAnsi="Arial"/>
          <w:b w:val="false"/>
          <w:bCs w:val="false"/>
          <w:i w:val="false"/>
          <w:iCs w:val="false"/>
          <w:sz w:val="22"/>
          <w:szCs w:val="22"/>
        </w:rPr>
        <w:t xml:space="preserve">A developer that cannot earn approval after the full community has been informed of its proposal does not have a project that deserves approval. Conversely, a project that can demonstrate its benefits and mitigate its impacts after full public scrutiny is a stronger project with more durable community support.</w:t>
      </w:r>
    </w:p>
    <w:p>
      <w:pPr>
        <w:spacing w:after="200" w:before="0" w:line="360"/>
      </w:pPr>
      <w:r>
        <w:rPr>
          <w:rFonts w:ascii="Arial" w:cs="Arial" w:eastAsia="Arial" w:hAnsi="Arial"/>
          <w:b w:val="false"/>
          <w:bCs w:val="false"/>
          <w:i w:val="false"/>
          <w:iCs w:val="false"/>
          <w:sz w:val="22"/>
          <w:szCs w:val="22"/>
        </w:rPr>
        <w:t xml:space="preserve">The measure of a fair energy siting process is not whether developers can navigate it — they always can. The measure is whether communities that host the infrastructure come out at least as well as they went in: with property values intact, utility rates unaffected, agricultural land recoverable, and their right to shape their own future preserved.</w:t>
      </w:r>
    </w:p>
    <w:p>
      <w:pPr>
        <w:spacing w:after="200" w:before="300" w:line="360"/>
      </w:pPr>
      <w:r>
        <w:rPr>
          <w:rFonts w:ascii="Arial" w:cs="Arial" w:eastAsia="Arial" w:hAnsi="Arial"/>
          <w:b/>
          <w:bCs/>
          <w:i w:val="false"/>
          <w:iCs w:val="false"/>
          <w:sz w:val="22"/>
          <w:szCs w:val="22"/>
        </w:rPr>
        <w:t xml:space="preserve">VII. CONCLUSION</w:t>
      </w:r>
    </w:p>
    <w:p>
      <w:pPr>
        <w:spacing w:after="200" w:before="0" w:line="360"/>
      </w:pPr>
      <w:r>
        <w:rPr>
          <w:rFonts w:ascii="Arial" w:cs="Arial" w:eastAsia="Arial" w:hAnsi="Arial"/>
          <w:b w:val="false"/>
          <w:bCs w:val="false"/>
          <w:i w:val="false"/>
          <w:iCs w:val="false"/>
          <w:sz w:val="22"/>
          <w:szCs w:val="22"/>
        </w:rPr>
        <w:t xml:space="preserve">The Idaho Legislature itself has recognized these principles. On March 16, 2026, the House of Representatives adopted </w:t>
      </w:r>
      <w:r>
        <w:rPr>
          <w:rFonts w:ascii="Arial" w:cs="Arial" w:eastAsia="Arial" w:hAnsi="Arial"/>
          <w:b/>
          <w:bCs/>
          <w:sz w:val="22"/>
          <w:szCs w:val="22"/>
        </w:rPr>
        <w:t xml:space="preserve">House Concurrent Resolution 32 (HCR032)</w:t>
      </w:r>
      <w:r>
        <w:rPr>
          <w:rFonts w:ascii="Arial" w:cs="Arial" w:eastAsia="Arial" w:hAnsi="Arial"/>
          <w:b w:val="false"/>
          <w:bCs w:val="false"/>
          <w:i w:val="false"/>
          <w:iCs w:val="false"/>
          <w:sz w:val="22"/>
          <w:szCs w:val="22"/>
        </w:rPr>
        <w:t xml:space="preserve">, declaring that energy infrastructure that does not benefit Idaho utility customers and materially harms agriculture, critical water resources, or rural communities is “inconsistent with the expressed policy position of the State of Idaho.” HCR032 affirms that “private property rights, local land use authority, and the protection of agricultural and rural communities are paramount considerations” in energy siting. It recognizes the Eastern Snake Plain Aquifer as a critical resource of statewide importance. These are not abstract principles—they are the declared findings of the Idaho Legislature in 2026.</w:t>
      </w:r>
    </w:p>
    <w:p>
      <w:pPr>
        <w:spacing w:after="200" w:before="0" w:line="360"/>
      </w:pPr>
      <w:r>
        <w:rPr>
          <w:rFonts w:ascii="Arial" w:cs="Arial" w:eastAsia="Arial" w:hAnsi="Arial"/>
          <w:b w:val="false"/>
          <w:bCs w:val="false"/>
          <w:i w:val="false"/>
          <w:iCs w:val="false"/>
          <w:sz w:val="22"/>
          <w:szCs w:val="22"/>
        </w:rPr>
        <w:t xml:space="preserve">The right to develop property is real. So is the right of a community to demand that those who develop bear the full cost of what they build. The current framework is failing rural communities systematically and predictably — through inadequate notification, undisclosed tax abatements, socialized infrastructure costs, and a permitting process that advantages well-funded developers over the communities that host their projects.</w:t>
      </w:r>
    </w:p>
    <w:p>
      <w:pPr>
        <w:spacing w:after="200" w:before="0" w:line="360"/>
      </w:pPr>
      <w:r>
        <w:rPr>
          <w:rFonts w:ascii="Arial" w:cs="Arial" w:eastAsia="Arial" w:hAnsi="Arial"/>
          <w:b w:val="false"/>
          <w:bCs w:val="false"/>
          <w:i w:val="false"/>
          <w:iCs w:val="false"/>
          <w:sz w:val="22"/>
          <w:szCs w:val="22"/>
        </w:rPr>
        <w:t xml:space="preserve">Fixing it requires three things: expanded notification so that every citizen within the documented impact area knows what is proposed before the decision is made; objective standards that require developers to internalize every dollar of cost their projects impose; and the political will to exercise the police power that the Constitution provides — not to block development, but to ensure that development serves the community as much as it serves the developer.</w:t>
      </w:r>
    </w:p>
    <w:p>
      <w:pPr>
        <w:spacing w:after="200" w:before="0" w:line="360"/>
      </w:pPr>
      <w:r>
        <w:rPr>
          <w:rFonts w:ascii="Arial" w:cs="Arial" w:eastAsia="Arial" w:hAnsi="Arial"/>
          <w:b w:val="false"/>
          <w:bCs w:val="false"/>
          <w:i w:val="false"/>
          <w:iCs w:val="false"/>
          <w:sz w:val="22"/>
          <w:szCs w:val="22"/>
        </w:rPr>
        <w:t xml:space="preserve">Jerome County has the opportunity to build that framework. The legal authority exists. The evidence supports it. The only question is whether the Board of County Commissioners will use it.</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Position Paper: Property Rights &amp; Community Notification</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position paper on constitutional property rights and notification framework</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v2</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data center accountability section, utility rate evidence, expanded notification justification</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v3</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Integrated tier classification references, PJM capacity market data</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v4</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Integrated survey data (Q7, Q1, Q3, Q6, Q9, Q10) in notification section, added HCR032 in conclusion</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revision tracking page; final consistency review</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p>
  <w:p>
    <w:pPr>
      <w:tabs>
        <w:tab w:val="center" w:pos="4680"/>
        <w:tab w:val="right" w:pos="9360"/>
      </w:tabs>
    </w:pPr>
    <w:r>
      <w:rPr>
        <w:rFonts w:ascii="Arial" w:cs="Arial" w:eastAsia="Arial" w:hAnsi="Arial"/>
        <w:b w:val="false"/>
        <w:bCs w:val="false"/>
        <w:i w:val="false"/>
        <w:iCs w:val="false"/>
        <w:color w:val="666666"/>
        <w:sz w:val="18"/>
        <w:szCs w:val="18"/>
      </w:rPr>
      <w:t xml:space="preserve">Pierson — Position Paper</w:t>
    </w:r>
    <w:r>
      <w:rPr>
        <w:rFonts w:ascii="Arial" w:cs="Arial" w:eastAsia="Arial" w:hAnsi="Arial"/>
        <w:sz w:val="18"/>
        <w:szCs w:val="18"/>
      </w:rPr>
      <w:t xml:space="preserve">	</w:t>
    </w:r>
    <w:r>
      <w:rPr>
        <w:rFonts w:ascii="Arial" w:cs="Arial" w:eastAsia="Arial" w:hAnsi="Arial"/>
        <w:sz w:val="18"/>
        <w:szCs w:val="18"/>
      </w:rPr>
      <w:t xml:space="preserve">	</w:t>
    </w:r>
    <w:r>
      <w:rPr>
        <w:rFonts w:ascii="Arial" w:cs="Arial" w:eastAsia="Arial" w:hAnsi="Arial"/>
        <w:b w:val="false"/>
        <w:bCs w:val="false"/>
        <w:i w:val="false"/>
        <w:iCs w:val="false"/>
        <w:color w:val="666666"/>
        <w:sz w:val="18"/>
        <w:szCs w:val="18"/>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2026-03-23T07:47:59.290Z</dcterms:created>
  <dcterms:modified xsi:type="dcterms:W3CDTF">2026-03-23T07:47:59.290Z</dcterms:modified>
</cp:coreProperties>
</file>

<file path=docProps/custom.xml><?xml version="1.0" encoding="utf-8"?>
<Properties xmlns="http://schemas.openxmlformats.org/officeDocument/2006/custom-properties" xmlns:vt="http://schemas.openxmlformats.org/officeDocument/2006/docPropsVTypes"/>
</file>