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276"/>
      </w:pPr>
      <w:r>
        <w:rPr>
          <w:rFonts w:ascii="Arial" w:cs="Arial" w:eastAsia="Arial" w:hAnsi="Arial"/>
          <w:b w:val="false"/>
          <w:bCs w:val="false"/>
          <w:i w:val="false"/>
          <w:iCs w:val="false"/>
          <w:sz w:val="22"/>
          <w:szCs w:val="22"/>
        </w:rPr>
        <w:t xml:space="preserve">March 22, 2026</w:t>
      </w:r>
    </w:p>
    <w:p>
      <w:pPr>
        <w:spacing w:after="40" w:before="0" w:line="276"/>
      </w:pPr>
      <w:r>
        <w:rPr>
          <w:rFonts w:ascii="Arial" w:cs="Arial" w:eastAsia="Arial" w:hAnsi="Arial"/>
          <w:b/>
          <w:bCs/>
          <w:i w:val="false"/>
          <w:iCs w:val="false"/>
          <w:sz w:val="22"/>
          <w:szCs w:val="22"/>
        </w:rPr>
        <w:t xml:space="preserve">Board of County Commissioners</w:t>
      </w:r>
    </w:p>
    <w:p>
      <w:pPr>
        <w:spacing w:after="40" w:before="0" w:line="276"/>
      </w:pPr>
      <w:r>
        <w:rPr>
          <w:rFonts w:ascii="Arial" w:cs="Arial" w:eastAsia="Arial" w:hAnsi="Arial"/>
          <w:b w:val="false"/>
          <w:bCs w:val="false"/>
          <w:i w:val="false"/>
          <w:iCs w:val="false"/>
          <w:sz w:val="22"/>
          <w:szCs w:val="22"/>
        </w:rPr>
        <w:t xml:space="preserve">Jerome County, Idaho</w:t>
      </w:r>
    </w:p>
    <w:p>
      <w:pPr>
        <w:spacing w:after="40" w:before="0" w:line="276"/>
      </w:pPr>
      <w:r>
        <w:rPr>
          <w:rFonts w:ascii="Arial" w:cs="Arial" w:eastAsia="Arial" w:hAnsi="Arial"/>
          <w:b w:val="false"/>
          <w:bCs w:val="false"/>
          <w:i w:val="false"/>
          <w:iCs w:val="false"/>
          <w:sz w:val="22"/>
          <w:szCs w:val="22"/>
        </w:rPr>
        <w:t xml:space="preserve">Jerome County Courthouse</w:t>
      </w:r>
    </w:p>
    <w:p>
      <w:pPr>
        <w:spacing w:after="40" w:before="0" w:line="276"/>
      </w:pPr>
      <w:r>
        <w:rPr>
          <w:rFonts w:ascii="Arial" w:cs="Arial" w:eastAsia="Arial" w:hAnsi="Arial"/>
          <w:b w:val="false"/>
          <w:bCs w:val="false"/>
          <w:i w:val="false"/>
          <w:iCs w:val="false"/>
          <w:sz w:val="22"/>
          <w:szCs w:val="22"/>
        </w:rPr>
        <w:t xml:space="preserve">300 North Lincoln Avenue</w:t>
      </w:r>
    </w:p>
    <w:p>
      <w:pPr>
        <w:spacing w:after="240" w:before="0" w:line="276"/>
      </w:pPr>
      <w:r>
        <w:rPr>
          <w:rFonts w:ascii="Arial" w:cs="Arial" w:eastAsia="Arial" w:hAnsi="Arial"/>
          <w:b w:val="false"/>
          <w:bCs w:val="false"/>
          <w:i w:val="false"/>
          <w:iCs w:val="false"/>
          <w:sz w:val="22"/>
          <w:szCs w:val="22"/>
        </w:rPr>
        <w:t xml:space="preserve">Jerome, Idaho 83338</w:t>
      </w:r>
    </w:p>
    <w:p>
      <w:pPr>
        <w:spacing w:after="240" w:before="0" w:line="276"/>
      </w:pPr>
      <w:r>
        <w:rPr>
          <w:rFonts w:ascii="Arial" w:cs="Arial" w:eastAsia="Arial" w:hAnsi="Arial"/>
          <w:b/>
          <w:bCs/>
          <w:sz w:val="22"/>
          <w:szCs w:val="22"/>
        </w:rPr>
        <w:t xml:space="preserve">Re: </w:t>
      </w:r>
      <w:r>
        <w:rPr>
          <w:rFonts w:ascii="Arial" w:cs="Arial" w:eastAsia="Arial" w:hAnsi="Arial"/>
          <w:b/>
          <w:bCs/>
          <w:sz w:val="22"/>
          <w:szCs w:val="22"/>
        </w:rPr>
        <w:t xml:space="preserve">Response to Planning and Zoning Commission Recommendations of February 23, 2026, Regarding Proposed Amendments to the Jerome County Comprehensive Plan (Chapter 10) and Jerome County Zoning Ordinance (Chapter 11) — Detailed Rebuttal to Findings 1, 2, 4, and 5 with Supporting Citations, Data, and Analysis</w:t>
      </w:r>
    </w:p>
    <w:p>
      <w:pPr>
        <w:spacing w:after="200" w:before="0" w:line="276"/>
      </w:pPr>
      <w:r>
        <w:rPr>
          <w:rFonts w:ascii="Arial" w:cs="Arial" w:eastAsia="Arial" w:hAnsi="Arial"/>
          <w:b w:val="false"/>
          <w:bCs w:val="false"/>
          <w:i w:val="false"/>
          <w:iCs w:val="false"/>
          <w:sz w:val="22"/>
          <w:szCs w:val="22"/>
        </w:rPr>
        <w:t xml:space="preserve">Dear Members of the Board:</w:t>
      </w:r>
    </w:p>
    <w:p>
      <w:pPr>
        <w:spacing w:after="160" w:before="0" w:line="276"/>
      </w:pPr>
      <w:r>
        <w:rPr>
          <w:rFonts w:ascii="Arial" w:cs="Arial" w:eastAsia="Arial" w:hAnsi="Arial"/>
          <w:sz w:val="22"/>
          <w:szCs w:val="22"/>
        </w:rPr>
        <w:t xml:space="preserve">I respectfully submit this formal written response to the Planning and Zoning Commission’s recommendations of February 23, 2026, in which the Commission voted 5–0 to recommend denial of the proposed Chapter 10 (Comprehensive Plan — Utilities) and Chapter 11 (Energy Facilities) amendments. I do not challenge the Commission’s authority to make recommendations. I challenge the factual accuracy and analytical rigor of four specific findings upon which those recommendations rest.</w:t>
      </w:r>
    </w:p>
    <w:p>
      <w:pPr>
        <w:spacing w:after="160" w:before="0" w:line="276"/>
      </w:pPr>
      <w:r>
        <w:rPr>
          <w:rFonts w:ascii="Arial" w:cs="Arial" w:eastAsia="Arial" w:hAnsi="Arial"/>
          <w:sz w:val="22"/>
          <w:szCs w:val="22"/>
        </w:rPr>
        <w:t xml:space="preserve">Each rebuttal below is supported by citations to peer-reviewed academic research, official USDA data, federal agency publications, enacted state legislation, the County Siting Posture Metric (CSPM) framework, and the </w:t>
      </w:r>
      <w:r>
        <w:rPr>
          <w:rFonts w:ascii="Arial" w:cs="Arial" w:eastAsia="Arial" w:hAnsi="Arial"/>
          <w:b/>
          <w:bCs/>
          <w:sz w:val="22"/>
          <w:szCs w:val="22"/>
        </w:rPr>
        <w:t xml:space="preserve">JTown Beacon Community Survey (March 2026, 65 respondents)</w:t>
      </w:r>
      <w:r>
        <w:rPr>
          <w:rFonts w:ascii="Arial" w:cs="Arial" w:eastAsia="Arial" w:hAnsi="Arial"/>
          <w:sz w:val="22"/>
          <w:szCs w:val="22"/>
        </w:rPr>
        <w:t xml:space="preserve">—which provides direct evidence that Jerome County residents overwhelmingly support the protective standards proposed in this package.</w:t>
      </w:r>
    </w:p>
    <w:p>
      <w:pPr>
        <w:spacing w:after="160" w:before="0" w:line="276"/>
      </w:pPr>
      <w:r>
        <w:rPr>
          <w:rFonts w:ascii="Arial" w:cs="Arial" w:eastAsia="Arial" w:hAnsi="Arial"/>
          <w:sz w:val="22"/>
          <w:szCs w:val="22"/>
        </w:rPr>
        <w:t xml:space="preserve">I address Findings 1, 2, 4, and 5 of the Commission’s Chapter 10 recommendation in order.</w:t>
      </w:r>
    </w:p>
    <w:p>
      <w:pPr>
        <w:pStyle w:val="Heading1"/>
        <w:spacing w:after="160" w:before="360"/>
      </w:pPr>
      <w:r>
        <w:rPr>
          <w:rFonts w:ascii="Arial" w:cs="Arial" w:eastAsia="Arial" w:hAnsi="Arial"/>
          <w:b/>
          <w:bCs/>
          <w:sz w:val="28"/>
          <w:szCs w:val="28"/>
        </w:rPr>
        <w:t xml:space="preserve">I. REBUTTAL TO FINDING 1: “The Language Is Heavy-Handed and Overly Restrictive”</w:t>
      </w:r>
    </w:p>
    <w:p>
      <w:pPr>
        <w:spacing w:after="160" w:before="0" w:line="276"/>
      </w:pPr>
      <w:r>
        <w:rPr>
          <w:rFonts w:ascii="Arial" w:cs="Arial" w:eastAsia="Arial" w:hAnsi="Arial"/>
          <w:b/>
          <w:bCs/>
          <w:sz w:val="22"/>
          <w:szCs w:val="22"/>
        </w:rPr>
        <w:t xml:space="preserve">The Commission’s Claim: </w:t>
      </w:r>
      <w:r>
        <w:rPr>
          <w:rFonts w:ascii="Arial" w:cs="Arial" w:eastAsia="Arial" w:hAnsi="Arial"/>
          <w:sz w:val="22"/>
          <w:szCs w:val="22"/>
        </w:rPr>
        <w:t xml:space="preserve">The proposed Comprehensive Plan language is “overly restrictive” and “heavy-handed,” and a case-by-case CUP review process is adequate to protect county interests.</w:t>
      </w:r>
    </w:p>
    <w:p>
      <w:pPr>
        <w:pStyle w:val="Heading2"/>
        <w:spacing w:after="160" w:before="240"/>
      </w:pPr>
      <w:r>
        <w:rPr>
          <w:rFonts w:ascii="Arial" w:cs="Arial" w:eastAsia="Arial" w:hAnsi="Arial"/>
          <w:b/>
          <w:bCs/>
          <w:sz w:val="24"/>
          <w:szCs w:val="24"/>
        </w:rPr>
        <w:t xml:space="preserve">A. The Scale of the Threat Demands More Than Case-by-Case Review</w:t>
      </w:r>
    </w:p>
    <w:p>
      <w:pPr>
        <w:spacing w:after="160" w:before="0" w:line="276"/>
      </w:pPr>
      <w:r>
        <w:rPr>
          <w:rFonts w:ascii="Arial" w:cs="Arial" w:eastAsia="Arial" w:hAnsi="Arial"/>
          <w:sz w:val="22"/>
          <w:szCs w:val="22"/>
        </w:rPr>
        <w:t xml:space="preserve">The American Farmland Trust (AFT) has documented that the United States lost or compromised </w:t>
      </w:r>
      <w:r>
        <w:rPr>
          <w:rFonts w:ascii="Arial" w:cs="Arial" w:eastAsia="Arial" w:hAnsi="Arial"/>
          <w:b/>
          <w:bCs/>
          <w:sz w:val="22"/>
          <w:szCs w:val="22"/>
        </w:rPr>
        <w:t xml:space="preserve">11 million acres</w:t>
      </w:r>
      <w:r>
        <w:rPr>
          <w:rFonts w:ascii="Arial" w:cs="Arial" w:eastAsia="Arial" w:hAnsi="Arial"/>
          <w:sz w:val="22"/>
          <w:szCs w:val="22"/>
        </w:rPr>
        <w:t xml:space="preserve"> of agricultural land between 2001 and 2016—an average of 2,000 acres per day. Of this, 4.4 million acres were “nationally significant” farmland: the most productive, versatile, and resilient land in the country. AFT projects that if current trends continue, another </w:t>
      </w:r>
      <w:r>
        <w:rPr>
          <w:rFonts w:ascii="Arial" w:cs="Arial" w:eastAsia="Arial" w:hAnsi="Arial"/>
          <w:b/>
          <w:bCs/>
          <w:sz w:val="22"/>
          <w:szCs w:val="22"/>
        </w:rPr>
        <w:t xml:space="preserve">18.4 million acres</w:t>
      </w:r>
      <w:r>
        <w:rPr>
          <w:rFonts w:ascii="Arial" w:cs="Arial" w:eastAsia="Arial" w:hAnsi="Arial"/>
          <w:sz w:val="22"/>
          <w:szCs w:val="22"/>
        </w:rPr>
        <w:t xml:space="preserve"> will be lost by 2040—an area nearly the size of South Carolina.</w:t>
      </w:r>
    </w:p>
    <w:p>
      <w:pPr>
        <w:spacing w:after="160" w:before="0" w:line="276"/>
      </w:pPr>
      <w:r>
        <w:rPr>
          <w:rFonts w:ascii="Arial" w:cs="Arial" w:eastAsia="Arial" w:hAnsi="Arial"/>
          <w:sz w:val="22"/>
          <w:szCs w:val="22"/>
          <w:vertAlign w:val="superscript"/>
        </w:rPr>
        <w:t xml:space="preserve">2</w:t>
      </w:r>
    </w:p>
    <w:p>
      <w:pPr>
        <w:spacing w:after="160" w:before="0" w:line="276"/>
      </w:pPr>
      <w:r>
        <w:rPr>
          <w:rFonts w:ascii="Arial" w:cs="Arial" w:eastAsia="Arial" w:hAnsi="Arial"/>
          <w:sz w:val="22"/>
          <w:szCs w:val="22"/>
        </w:rPr>
        <w:t xml:space="preserve">Critically, AFT’s modeling finds that </w:t>
      </w:r>
      <w:r>
        <w:rPr>
          <w:rFonts w:ascii="Arial" w:cs="Arial" w:eastAsia="Arial" w:hAnsi="Arial"/>
          <w:b/>
          <w:bCs/>
          <w:sz w:val="22"/>
          <w:szCs w:val="22"/>
        </w:rPr>
        <w:t xml:space="preserve">83% of projected solar development will take place on agricultural land</w:t>
      </w:r>
      <w:r>
        <w:rPr>
          <w:rFonts w:ascii="Arial" w:cs="Arial" w:eastAsia="Arial" w:hAnsi="Arial"/>
          <w:sz w:val="22"/>
          <w:szCs w:val="22"/>
        </w:rPr>
        <w:t xml:space="preserve">, and nearly half of that land is “nationally significant” in terms of productivity and resilience.</w:t>
      </w:r>
    </w:p>
    <w:p>
      <w:pPr>
        <w:spacing w:after="160" w:before="0" w:line="276"/>
      </w:pPr>
      <w:r>
        <w:rPr>
          <w:rFonts w:ascii="Arial" w:cs="Arial" w:eastAsia="Arial" w:hAnsi="Arial"/>
          <w:sz w:val="22"/>
          <w:szCs w:val="22"/>
          <w:vertAlign w:val="superscript"/>
        </w:rPr>
        <w:t xml:space="preserve">1</w:t>
      </w:r>
    </w:p>
    <w:p>
      <w:pPr>
        <w:spacing w:after="160" w:before="0" w:line="276"/>
      </w:pPr>
      <w:r>
        <w:rPr>
          <w:rFonts w:ascii="Arial" w:cs="Arial" w:eastAsia="Arial" w:hAnsi="Arial"/>
          <w:sz w:val="22"/>
          <w:szCs w:val="22"/>
        </w:rPr>
        <w:t xml:space="preserve">A case-by-case CUP process without categorical standards is precisely the regulatory gap that allows this conversion to proceed incrementally. Each individual project appears manageable. The cumulative effect is the permanent loss of the county’s agricultural foundation. The CSPM framework addresses this directly: its </w:t>
      </w:r>
      <w:r>
        <w:rPr>
          <w:rFonts w:ascii="Arial" w:cs="Arial" w:eastAsia="Arial" w:hAnsi="Arial"/>
          <w:b/>
          <w:bCs/>
          <w:sz w:val="22"/>
          <w:szCs w:val="22"/>
        </w:rPr>
        <w:t xml:space="preserve">Cumulative/Regional Pressure dimension</w:t>
      </w:r>
      <w:r>
        <w:rPr>
          <w:rFonts w:ascii="Arial" w:cs="Arial" w:eastAsia="Arial" w:hAnsi="Arial"/>
          <w:sz w:val="22"/>
          <w:szCs w:val="22"/>
        </w:rPr>
        <w:t xml:space="preserve"> (scored 0–10, weighted ×1.0) requires counties to evaluate not just the project before them, but the wave of projects that will follow if the first is approved under weak standards.</w:t>
      </w:r>
    </w:p>
    <w:p>
      <w:pPr>
        <w:spacing w:after="160" w:before="0" w:line="276"/>
      </w:pPr>
      <w:r>
        <w:rPr>
          <w:rFonts w:ascii="Arial" w:cs="Arial" w:eastAsia="Arial" w:hAnsi="Arial"/>
          <w:sz w:val="22"/>
          <w:szCs w:val="22"/>
        </w:rPr>
        <w:t xml:space="preserve">The community’s position is unambiguous. The </w:t>
      </w:r>
      <w:r>
        <w:rPr>
          <w:rFonts w:ascii="Arial" w:cs="Arial" w:eastAsia="Arial" w:hAnsi="Arial"/>
          <w:b/>
          <w:bCs/>
          <w:sz w:val="22"/>
          <w:szCs w:val="22"/>
        </w:rPr>
        <w:t xml:space="preserve">JTown Beacon Community Survey (March 2026)</w:t>
      </w:r>
      <w:r>
        <w:rPr>
          <w:rFonts w:ascii="Arial" w:cs="Arial" w:eastAsia="Arial" w:hAnsi="Arial"/>
          <w:sz w:val="22"/>
          <w:szCs w:val="22"/>
        </w:rPr>
        <w:t xml:space="preserve"> found that </w:t>
      </w:r>
      <w:r>
        <w:rPr>
          <w:rFonts w:ascii="Arial" w:cs="Arial" w:eastAsia="Arial" w:hAnsi="Arial"/>
          <w:b/>
          <w:bCs/>
          <w:sz w:val="22"/>
          <w:szCs w:val="22"/>
        </w:rPr>
        <w:t xml:space="preserve">93.7% of respondents oppose allowing large-scale energy development in agricultural zones</w:t>
      </w:r>
      <w:r>
        <w:rPr>
          <w:rFonts w:ascii="Arial" w:cs="Arial" w:eastAsia="Arial" w:hAnsi="Arial"/>
          <w:sz w:val="22"/>
          <w:szCs w:val="22"/>
        </w:rPr>
        <w:t xml:space="preserve"> (Q3), </w:t>
      </w:r>
      <w:r>
        <w:rPr>
          <w:rFonts w:ascii="Arial" w:cs="Arial" w:eastAsia="Arial" w:hAnsi="Arial"/>
          <w:b/>
          <w:bCs/>
          <w:sz w:val="22"/>
          <w:szCs w:val="22"/>
        </w:rPr>
        <w:t xml:space="preserve">93.8% rate agricultural land preservation as important or extremely important</w:t>
      </w:r>
      <w:r>
        <w:rPr>
          <w:rFonts w:ascii="Arial" w:cs="Arial" w:eastAsia="Arial" w:hAnsi="Arial"/>
          <w:sz w:val="22"/>
          <w:szCs w:val="22"/>
        </w:rPr>
        <w:t xml:space="preserve"> (Q1), and </w:t>
      </w:r>
      <w:r>
        <w:rPr>
          <w:rFonts w:ascii="Arial" w:cs="Arial" w:eastAsia="Arial" w:hAnsi="Arial"/>
          <w:b/>
          <w:bCs/>
          <w:sz w:val="22"/>
          <w:szCs w:val="22"/>
        </w:rPr>
        <w:t xml:space="preserve">80% say current guidelines are not strict enough</w:t>
      </w:r>
      <w:r>
        <w:rPr>
          <w:rFonts w:ascii="Arial" w:cs="Arial" w:eastAsia="Arial" w:hAnsi="Arial"/>
          <w:sz w:val="22"/>
          <w:szCs w:val="22"/>
        </w:rPr>
        <w:t xml:space="preserve"> (Q6). These are not marginal preferences—they are near-unanimous community mandates. The Commission’s characterization of categorical protections as “heavy-handed” is contradicted not only by the evidentiary record but by the documented will of the community the Commission serves.</w:t>
      </w:r>
    </w:p>
    <w:p>
      <w:pPr>
        <w:spacing w:after="160" w:before="0" w:line="276"/>
      </w:pPr>
      <w:r>
        <w:rPr>
          <w:rFonts w:ascii="Arial" w:cs="Arial" w:eastAsia="Arial" w:hAnsi="Arial"/>
          <w:sz w:val="22"/>
          <w:szCs w:val="22"/>
          <w:vertAlign w:val="superscript"/>
        </w:rPr>
        <w:t xml:space="preserve">15</w:t>
      </w:r>
    </w:p>
    <w:p>
      <w:pPr>
        <w:pStyle w:val="Heading2"/>
        <w:spacing w:after="160" w:before="240"/>
      </w:pPr>
      <w:r>
        <w:rPr>
          <w:rFonts w:ascii="Arial" w:cs="Arial" w:eastAsia="Arial" w:hAnsi="Arial"/>
          <w:b/>
          <w:bCs/>
          <w:sz w:val="24"/>
          <w:szCs w:val="24"/>
        </w:rPr>
        <w:t xml:space="preserve">B. “Strong Standards” Without Categorical Protections Are Routinely Waived, Conditioned Away, or Litigated Into Irrelevance</w:t>
      </w:r>
    </w:p>
    <w:p>
      <w:pPr>
        <w:spacing w:after="160" w:before="0" w:line="276"/>
      </w:pPr>
      <w:r>
        <w:rPr>
          <w:rFonts w:ascii="Arial" w:cs="Arial" w:eastAsia="Arial" w:hAnsi="Arial"/>
          <w:sz w:val="22"/>
          <w:szCs w:val="22"/>
        </w:rPr>
        <w:t xml:space="preserve">The Commission states that a CUP process is “adequate” to protect agricultural interests. But a CUP process is only as strong as the standards it contains and the political will to enforce them. The Commission’s own recommendation on Chapter 7 </w:t>
      </w:r>
      <w:r>
        <w:rPr>
          <w:rFonts w:ascii="Arial" w:cs="Arial" w:eastAsia="Arial" w:hAnsi="Arial"/>
          <w:i/>
          <w:iCs/>
          <w:sz w:val="22"/>
          <w:szCs w:val="22"/>
        </w:rPr>
        <w:t xml:space="preserve">removed</w:t>
      </w:r>
      <w:r>
        <w:rPr>
          <w:rFonts w:ascii="Arial" w:cs="Arial" w:eastAsia="Arial" w:hAnsi="Arial"/>
          <w:sz w:val="22"/>
          <w:szCs w:val="22"/>
        </w:rPr>
        <w:t xml:space="preserve"> Section 7-6.02(C)—the provision that would have made property value impact a deciding factor—on the grounds that it is “difficult to quantify.” This is precisely the pattern: subjective standards get weakened or removed at every stage of the process. Categorical protections for Class I and Class II soils—binary, objective, non-waivable—cannot be negotiated away in a hearing room.</w:t>
      </w:r>
    </w:p>
    <w:p>
      <w:pPr>
        <w:pStyle w:val="Heading2"/>
        <w:spacing w:after="160" w:before="240"/>
      </w:pPr>
      <w:r>
        <w:rPr>
          <w:rFonts w:ascii="Arial" w:cs="Arial" w:eastAsia="Arial" w:hAnsi="Arial"/>
          <w:b/>
          <w:bCs/>
          <w:sz w:val="24"/>
          <w:szCs w:val="24"/>
        </w:rPr>
        <w:t xml:space="preserve">C. The “Heavy-Handed” Standard Is a National Standard, Not a Local Invention</w:t>
      </w:r>
    </w:p>
    <w:p>
      <w:pPr>
        <w:spacing w:after="160" w:before="0" w:line="276"/>
      </w:pPr>
      <w:r>
        <w:rPr>
          <w:rFonts w:ascii="Arial" w:cs="Arial" w:eastAsia="Arial" w:hAnsi="Arial"/>
          <w:sz w:val="22"/>
          <w:szCs w:val="22"/>
        </w:rPr>
        <w:t xml:space="preserve">The absolute prohibition on energy facilities on Class I and Class II soils is not an invention of this proposal. It is the standard adopted by </w:t>
      </w:r>
      <w:r>
        <w:rPr>
          <w:rFonts w:ascii="Arial" w:cs="Arial" w:eastAsia="Arial" w:hAnsi="Arial"/>
          <w:b/>
          <w:bCs/>
          <w:sz w:val="22"/>
          <w:szCs w:val="22"/>
        </w:rPr>
        <w:t xml:space="preserve">Cecil County, Maryland</w:t>
      </w:r>
      <w:r>
        <w:rPr>
          <w:rFonts w:ascii="Arial" w:cs="Arial" w:eastAsia="Arial" w:hAnsi="Arial"/>
          <w:sz w:val="22"/>
          <w:szCs w:val="22"/>
        </w:rPr>
        <w:t xml:space="preserve"> and </w:t>
      </w:r>
      <w:r>
        <w:rPr>
          <w:rFonts w:ascii="Arial" w:cs="Arial" w:eastAsia="Arial" w:hAnsi="Arial"/>
          <w:b/>
          <w:bCs/>
          <w:sz w:val="22"/>
          <w:szCs w:val="22"/>
        </w:rPr>
        <w:t xml:space="preserve">Montgomery County, Maryland</w:t>
      </w:r>
      <w:r>
        <w:rPr>
          <w:rFonts w:ascii="Arial" w:cs="Arial" w:eastAsia="Arial" w:hAnsi="Arial"/>
          <w:sz w:val="22"/>
          <w:szCs w:val="22"/>
        </w:rPr>
        <w:t xml:space="preserve">—two of the most thoroughly litigated agricultural protection jurisdictions in the United States. These protections have been enacted, enforced, and sustained. They represent the national high-water mark for farmland protection, not an outlier. The federal Farmland Protection Policy Act (FPPA) itself uses the term “</w:t>
      </w:r>
      <w:r>
        <w:rPr>
          <w:rFonts w:ascii="Arial" w:cs="Arial" w:eastAsia="Arial" w:hAnsi="Arial"/>
          <w:i/>
          <w:iCs/>
          <w:sz w:val="22"/>
          <w:szCs w:val="22"/>
        </w:rPr>
        <w:t xml:space="preserve">irreversible</w:t>
      </w:r>
      <w:r>
        <w:rPr>
          <w:rFonts w:ascii="Arial" w:cs="Arial" w:eastAsia="Arial" w:hAnsi="Arial"/>
          <w:sz w:val="22"/>
          <w:szCs w:val="22"/>
        </w:rPr>
        <w:t xml:space="preserve"> conversion” to describe what happens when prime farmland is put to non-agricultural use.</w:t>
      </w:r>
    </w:p>
    <w:p>
      <w:pPr>
        <w:spacing w:after="160" w:before="0" w:line="276"/>
      </w:pPr>
      <w:r>
        <w:rPr>
          <w:rFonts w:ascii="Arial" w:cs="Arial" w:eastAsia="Arial" w:hAnsi="Arial"/>
          <w:sz w:val="22"/>
          <w:szCs w:val="22"/>
          <w:vertAlign w:val="superscript"/>
        </w:rPr>
        <w:t xml:space="preserve">14</w:t>
      </w:r>
    </w:p>
    <w:p>
      <w:pPr>
        <w:spacing w:after="160" w:before="0" w:line="276"/>
      </w:pPr>
      <w:r>
        <w:rPr>
          <w:rFonts w:ascii="Arial" w:cs="Arial" w:eastAsia="Arial" w:hAnsi="Arial"/>
          <w:sz w:val="22"/>
          <w:szCs w:val="22"/>
        </w:rPr>
        <w:t xml:space="preserve">Within Idaho, the trend is clear: </w:t>
      </w:r>
      <w:r>
        <w:rPr>
          <w:rFonts w:ascii="Arial" w:cs="Arial" w:eastAsia="Arial" w:hAnsi="Arial"/>
          <w:b/>
          <w:bCs/>
          <w:sz w:val="22"/>
          <w:szCs w:val="22"/>
        </w:rPr>
        <w:t xml:space="preserve">Bannock County</w:t>
      </w:r>
      <w:r>
        <w:rPr>
          <w:rFonts w:ascii="Arial" w:cs="Arial" w:eastAsia="Arial" w:hAnsi="Arial"/>
          <w:sz w:val="22"/>
          <w:szCs w:val="22"/>
        </w:rPr>
        <w:t xml:space="preserve"> enacted a complete ban on large-scale solar and wind projects. </w:t>
      </w:r>
      <w:r>
        <w:rPr>
          <w:rFonts w:ascii="Arial" w:cs="Arial" w:eastAsia="Arial" w:hAnsi="Arial"/>
          <w:b/>
          <w:bCs/>
          <w:sz w:val="22"/>
          <w:szCs w:val="22"/>
        </w:rPr>
        <w:t xml:space="preserve">Ada County</w:t>
      </w:r>
      <w:r>
        <w:rPr>
          <w:rFonts w:ascii="Arial" w:cs="Arial" w:eastAsia="Arial" w:hAnsi="Arial"/>
          <w:sz w:val="22"/>
          <w:szCs w:val="22"/>
        </w:rPr>
        <w:t xml:space="preserve"> rejected a solar farm application in January 2025 and added new solar restrictions to its zoning code, citing preservation of Idaho’s “way of life.” Governor Little signed </w:t>
      </w:r>
      <w:r>
        <w:rPr>
          <w:rFonts w:ascii="Arial" w:cs="Arial" w:eastAsia="Arial" w:hAnsi="Arial"/>
          <w:b/>
          <w:bCs/>
          <w:sz w:val="22"/>
          <w:szCs w:val="22"/>
        </w:rPr>
        <w:t xml:space="preserve">SB 1133</w:t>
      </w:r>
      <w:r>
        <w:rPr>
          <w:rFonts w:ascii="Arial" w:cs="Arial" w:eastAsia="Arial" w:hAnsi="Arial"/>
          <w:sz w:val="22"/>
          <w:szCs w:val="22"/>
        </w:rPr>
        <w:t xml:space="preserve"> on April 1, 2025, amending the Agricultural Protection Area Act to </w:t>
      </w:r>
      <w:r>
        <w:rPr>
          <w:rFonts w:ascii="Arial" w:cs="Arial" w:eastAsia="Arial" w:hAnsi="Arial"/>
          <w:i/>
          <w:iCs/>
          <w:sz w:val="22"/>
          <w:szCs w:val="22"/>
        </w:rPr>
        <w:t xml:space="preserve">prohibit</w:t>
      </w:r>
      <w:r>
        <w:rPr>
          <w:rFonts w:ascii="Arial" w:cs="Arial" w:eastAsia="Arial" w:hAnsi="Arial"/>
          <w:sz w:val="22"/>
          <w:szCs w:val="22"/>
        </w:rPr>
        <w:t xml:space="preserve"> solar and wind structures on APA-designated lands unless contributing to agricultural production. The legislative direction is toward stronger protections, not weaker ones.</w:t>
      </w:r>
    </w:p>
    <w:p>
      <w:pPr>
        <w:spacing w:after="160" w:before="0" w:line="276"/>
      </w:pPr>
      <w:r>
        <w:rPr>
          <w:rFonts w:ascii="Arial" w:cs="Arial" w:eastAsia="Arial" w:hAnsi="Arial"/>
          <w:sz w:val="22"/>
          <w:szCs w:val="22"/>
          <w:vertAlign w:val="superscript"/>
        </w:rPr>
        <w:t xml:space="preserve">12</w:t>
      </w:r>
      <w:r>
        <w:rPr>
          <w:rFonts w:ascii="Arial" w:cs="Arial" w:eastAsia="Arial" w:hAnsi="Arial"/>
          <w:sz w:val="22"/>
          <w:szCs w:val="22"/>
        </w:rPr>
        <w:t xml:space="preserve"> </w:t>
      </w:r>
      <w:r>
        <w:rPr>
          <w:rFonts w:ascii="Arial" w:cs="Arial" w:eastAsia="Arial" w:hAnsi="Arial"/>
          <w:sz w:val="22"/>
          <w:szCs w:val="22"/>
          <w:vertAlign w:val="superscript"/>
        </w:rPr>
        <w:t xml:space="preserve">13</w:t>
      </w:r>
      <w:r>
        <w:rPr>
          <w:rFonts w:ascii="Arial" w:cs="Arial" w:eastAsia="Arial" w:hAnsi="Arial"/>
          <w:sz w:val="22"/>
          <w:szCs w:val="22"/>
        </w:rPr>
        <w:t xml:space="preserve"> </w:t>
      </w:r>
      <w:r>
        <w:rPr>
          <w:rFonts w:ascii="Arial" w:cs="Arial" w:eastAsia="Arial" w:hAnsi="Arial"/>
          <w:sz w:val="22"/>
          <w:szCs w:val="22"/>
          <w:vertAlign w:val="superscript"/>
        </w:rPr>
        <w:t xml:space="preserve">18</w:t>
      </w:r>
    </w:p>
    <w:p>
      <w:pPr>
        <w:pStyle w:val="Heading1"/>
        <w:spacing w:after="160" w:before="360"/>
      </w:pPr>
      <w:r>
        <w:rPr>
          <w:rFonts w:ascii="Arial" w:cs="Arial" w:eastAsia="Arial" w:hAnsi="Arial"/>
          <w:b/>
          <w:bCs/>
          <w:sz w:val="28"/>
          <w:szCs w:val="28"/>
        </w:rPr>
        <w:t xml:space="preserve">II. REBUTTAL TO FINDING 2: “The ‘No Surplus Land’ Claim Is Misleading”</w:t>
      </w:r>
    </w:p>
    <w:p>
      <w:pPr>
        <w:spacing w:after="160" w:before="0" w:line="276"/>
      </w:pPr>
      <w:r>
        <w:rPr>
          <w:rFonts w:ascii="Arial" w:cs="Arial" w:eastAsia="Arial" w:hAnsi="Arial"/>
          <w:b/>
          <w:bCs/>
          <w:sz w:val="22"/>
          <w:szCs w:val="22"/>
        </w:rPr>
        <w:t xml:space="preserve">The Commission’s Claim: </w:t>
      </w:r>
      <w:r>
        <w:rPr>
          <w:rFonts w:ascii="Arial" w:cs="Arial" w:eastAsia="Arial" w:hAnsi="Arial"/>
          <w:sz w:val="22"/>
          <w:szCs w:val="22"/>
        </w:rPr>
        <w:t xml:space="preserve">The statement that all viable private land in Jerome County is actively farmed with “no surplus for conversion” is misleading. Farmers face uncertain water futures, commodity price volatility, and financial stress. Leasing land for energy may be “the only way for some farming families to maintain ownership and economic viability of their land.”</w:t>
      </w:r>
    </w:p>
    <w:p>
      <w:pPr>
        <w:pStyle w:val="Heading2"/>
        <w:spacing w:after="160" w:before="240"/>
      </w:pPr>
      <w:r>
        <w:rPr>
          <w:rFonts w:ascii="Arial" w:cs="Arial" w:eastAsia="Arial" w:hAnsi="Arial"/>
          <w:b/>
          <w:bCs/>
          <w:sz w:val="24"/>
          <w:szCs w:val="24"/>
        </w:rPr>
        <w:t xml:space="preserve">A. The Data Supports the “No Surplus” Characterization</w:t>
      </w:r>
    </w:p>
    <w:p>
      <w:pPr>
        <w:spacing w:after="160" w:before="0" w:line="276"/>
      </w:pPr>
      <w:r>
        <w:rPr>
          <w:rFonts w:ascii="Arial" w:cs="Arial" w:eastAsia="Arial" w:hAnsi="Arial"/>
          <w:sz w:val="22"/>
          <w:szCs w:val="22"/>
        </w:rPr>
        <w:t xml:space="preserve">Jerome County is not a county with idle land. The USDA Census of Agriculture documents that Jerome County’s total market value of agricultural products sold is </w:t>
      </w:r>
      <w:r>
        <w:rPr>
          <w:rFonts w:ascii="Arial" w:cs="Arial" w:eastAsia="Arial" w:hAnsi="Arial"/>
          <w:b/>
          <w:bCs/>
          <w:sz w:val="22"/>
          <w:szCs w:val="22"/>
        </w:rPr>
        <w:t xml:space="preserve">$639.6 million</w:t>
      </w:r>
      <w:r>
        <w:rPr>
          <w:rFonts w:ascii="Arial" w:cs="Arial" w:eastAsia="Arial" w:hAnsi="Arial"/>
          <w:sz w:val="22"/>
          <w:szCs w:val="22"/>
        </w:rPr>
        <w:t xml:space="preserve">—ranking 4th in Idaho and 59th among all counties in the United States. The county contains approximately </w:t>
      </w:r>
      <w:r>
        <w:rPr>
          <w:rFonts w:ascii="Arial" w:cs="Arial" w:eastAsia="Arial" w:hAnsi="Arial"/>
          <w:b/>
          <w:bCs/>
          <w:sz w:val="22"/>
          <w:szCs w:val="22"/>
        </w:rPr>
        <w:t xml:space="preserve">157,000 acres of cropland, nearly all irrigated</w:t>
      </w:r>
      <w:r>
        <w:rPr>
          <w:rFonts w:ascii="Arial" w:cs="Arial" w:eastAsia="Arial" w:hAnsi="Arial"/>
          <w:sz w:val="22"/>
          <w:szCs w:val="22"/>
        </w:rPr>
        <w:t xml:space="preserve">. Major crops include alfalfa hay and silage corn, which make up approximately 45% of cultivated acres and support the region’s dairy industry.</w:t>
      </w:r>
    </w:p>
    <w:p>
      <w:pPr>
        <w:spacing w:after="160" w:before="0" w:line="276"/>
      </w:pPr>
      <w:r>
        <w:rPr>
          <w:rFonts w:ascii="Arial" w:cs="Arial" w:eastAsia="Arial" w:hAnsi="Arial"/>
          <w:sz w:val="22"/>
          <w:szCs w:val="22"/>
          <w:vertAlign w:val="superscript"/>
        </w:rPr>
        <w:t xml:space="preserve">8</w:t>
      </w:r>
      <w:r>
        <w:rPr>
          <w:rFonts w:ascii="Arial" w:cs="Arial" w:eastAsia="Arial" w:hAnsi="Arial"/>
          <w:sz w:val="22"/>
          <w:szCs w:val="22"/>
        </w:rPr>
        <w:t xml:space="preserve"> </w:t>
      </w:r>
      <w:r>
        <w:rPr>
          <w:rFonts w:ascii="Arial" w:cs="Arial" w:eastAsia="Arial" w:hAnsi="Arial"/>
          <w:sz w:val="22"/>
          <w:szCs w:val="22"/>
          <w:vertAlign w:val="superscript"/>
        </w:rPr>
        <w:t xml:space="preserve">9</w:t>
      </w:r>
    </w:p>
    <w:p>
      <w:pPr>
        <w:spacing w:after="160" w:before="0" w:line="276"/>
      </w:pPr>
      <w:r>
        <w:rPr>
          <w:rFonts w:ascii="Arial" w:cs="Arial" w:eastAsia="Arial" w:hAnsi="Arial"/>
          <w:sz w:val="22"/>
          <w:szCs w:val="22"/>
        </w:rPr>
        <w:t xml:space="preserve">Jerome County produces </w:t>
      </w:r>
      <w:r>
        <w:rPr>
          <w:rFonts w:ascii="Arial" w:cs="Arial" w:eastAsia="Arial" w:hAnsi="Arial"/>
          <w:b/>
          <w:bCs/>
          <w:sz w:val="22"/>
          <w:szCs w:val="22"/>
        </w:rPr>
        <w:t xml:space="preserve">$274.3 million in cow milk annually</w:t>
      </w:r>
      <w:r>
        <w:rPr>
          <w:rFonts w:ascii="Arial" w:cs="Arial" w:eastAsia="Arial" w:hAnsi="Arial"/>
          <w:sz w:val="22"/>
          <w:szCs w:val="22"/>
        </w:rPr>
        <w:t xml:space="preserve">, ranking 3rd in Idaho and 16th nationally. The county accounts for 11.8% of all Idaho milk sales. The dairy industry depends on local feed production—alfalfa and corn silage—which depends on the irrigated cropland now being targeted for energy development.</w:t>
      </w:r>
    </w:p>
    <w:p>
      <w:pPr>
        <w:spacing w:after="160" w:before="0" w:line="276"/>
      </w:pPr>
      <w:r>
        <w:rPr>
          <w:rFonts w:ascii="Arial" w:cs="Arial" w:eastAsia="Arial" w:hAnsi="Arial"/>
          <w:sz w:val="22"/>
          <w:szCs w:val="22"/>
          <w:vertAlign w:val="superscript"/>
        </w:rPr>
        <w:t xml:space="preserve">10</w:t>
      </w:r>
    </w:p>
    <w:p>
      <w:pPr>
        <w:spacing w:after="160" w:before="0" w:line="276"/>
      </w:pPr>
      <w:r>
        <w:rPr>
          <w:rFonts w:ascii="Arial" w:cs="Arial" w:eastAsia="Arial" w:hAnsi="Arial"/>
          <w:sz w:val="22"/>
          <w:szCs w:val="22"/>
        </w:rPr>
        <w:t xml:space="preserve">The characterization of Jerome County as a place with “no surplus” agricultural land is not a rhetorical device. It is a description of a county where virtually every irrigated acre is in active agricultural production supporting a $639 million agricultural economy and a nationally significant dairy industry. The loss of irrigated cropland does not merely reduce acreage—it reduces the feed supply for dairy operations throughout the Magic Valley.</w:t>
      </w:r>
    </w:p>
    <w:p>
      <w:pPr>
        <w:pStyle w:val="Heading2"/>
        <w:spacing w:after="160" w:before="240"/>
      </w:pPr>
      <w:r>
        <w:rPr>
          <w:rFonts w:ascii="Arial" w:cs="Arial" w:eastAsia="Arial" w:hAnsi="Arial"/>
          <w:b/>
          <w:bCs/>
          <w:sz w:val="24"/>
          <w:szCs w:val="24"/>
        </w:rPr>
        <w:t xml:space="preserve">B. The “Farmer Financial Stress” Argument Proves the Need for Stronger Protections, Not Weaker Ones</w:t>
      </w:r>
    </w:p>
    <w:p>
      <w:pPr>
        <w:spacing w:after="160" w:before="0" w:line="276"/>
      </w:pPr>
      <w:r>
        <w:rPr>
          <w:rFonts w:ascii="Arial" w:cs="Arial" w:eastAsia="Arial" w:hAnsi="Arial"/>
          <w:sz w:val="22"/>
          <w:szCs w:val="22"/>
        </w:rPr>
        <w:t xml:space="preserve">The Commission argues that farmers facing financial stress should be permitted to lease land for energy development. This argument conflates the interests of an individual landowner with the interests of the agricultural community and the county as a whole. It is precisely the argument that the CSPM’s </w:t>
      </w:r>
      <w:r>
        <w:rPr>
          <w:rFonts w:ascii="Arial" w:cs="Arial" w:eastAsia="Arial" w:hAnsi="Arial"/>
          <w:b/>
          <w:bCs/>
          <w:sz w:val="22"/>
          <w:szCs w:val="22"/>
        </w:rPr>
        <w:t xml:space="preserve">Economic Conditions dimension</w:t>
      </w:r>
      <w:r>
        <w:rPr>
          <w:rFonts w:ascii="Arial" w:cs="Arial" w:eastAsia="Arial" w:hAnsi="Arial"/>
          <w:sz w:val="22"/>
          <w:szCs w:val="22"/>
        </w:rPr>
        <w:t xml:space="preserve"> is designed to evaluate.</w:t>
      </w:r>
    </w:p>
    <w:p>
      <w:pPr>
        <w:spacing w:after="160" w:before="0" w:line="276"/>
      </w:pPr>
      <w:r>
        <w:rPr>
          <w:rFonts w:ascii="Arial" w:cs="Arial" w:eastAsia="Arial" w:hAnsi="Arial"/>
          <w:sz w:val="22"/>
          <w:szCs w:val="22"/>
        </w:rPr>
        <w:t xml:space="preserve">The CSPM scores Economic Conditions on a 0–10 scale (weighted ×1.5), and—critically—this is an </w:t>
      </w:r>
      <w:r>
        <w:rPr>
          <w:rFonts w:ascii="Arial" w:cs="Arial" w:eastAsia="Arial" w:hAnsi="Arial"/>
          <w:i/>
          <w:iCs/>
          <w:sz w:val="22"/>
          <w:szCs w:val="22"/>
        </w:rPr>
        <w:t xml:space="preserve">inverted</w:t>
      </w:r>
      <w:r>
        <w:rPr>
          <w:rFonts w:ascii="Arial" w:cs="Arial" w:eastAsia="Arial" w:hAnsi="Arial"/>
          <w:sz w:val="22"/>
          <w:szCs w:val="22"/>
        </w:rPr>
        <w:t xml:space="preserve"> dimension. A county in severe fiscal distress scores high on the raw scale, which </w:t>
      </w:r>
      <w:r>
        <w:rPr>
          <w:rFonts w:ascii="Arial" w:cs="Arial" w:eastAsia="Arial" w:hAnsi="Arial"/>
          <w:i/>
          <w:iCs/>
          <w:sz w:val="22"/>
          <w:szCs w:val="22"/>
        </w:rPr>
        <w:t xml:space="preserve">reduces</w:t>
      </w:r>
      <w:r>
        <w:rPr>
          <w:rFonts w:ascii="Arial" w:cs="Arial" w:eastAsia="Arial" w:hAnsi="Arial"/>
          <w:sz w:val="22"/>
          <w:szCs w:val="22"/>
        </w:rPr>
        <w:t xml:space="preserve"> the CSPM total, arguing </w:t>
      </w:r>
      <w:r>
        <w:rPr>
          <w:rFonts w:ascii="Arial" w:cs="Arial" w:eastAsia="Arial" w:hAnsi="Arial"/>
          <w:i/>
          <w:iCs/>
          <w:sz w:val="22"/>
          <w:szCs w:val="22"/>
        </w:rPr>
        <w:t xml:space="preserve">against</w:t>
      </w:r>
      <w:r>
        <w:rPr>
          <w:rFonts w:ascii="Arial" w:cs="Arial" w:eastAsia="Arial" w:hAnsi="Arial"/>
          <w:sz w:val="22"/>
          <w:szCs w:val="22"/>
        </w:rPr>
        <w:t xml:space="preserve"> a ban. A county with a strong, diversified economy scores low on the raw scale, which </w:t>
      </w:r>
      <w:r>
        <w:rPr>
          <w:rFonts w:ascii="Arial" w:cs="Arial" w:eastAsia="Arial" w:hAnsi="Arial"/>
          <w:i/>
          <w:iCs/>
          <w:sz w:val="22"/>
          <w:szCs w:val="22"/>
        </w:rPr>
        <w:t xml:space="preserve">increases</w:t>
      </w:r>
      <w:r>
        <w:rPr>
          <w:rFonts w:ascii="Arial" w:cs="Arial" w:eastAsia="Arial" w:hAnsi="Arial"/>
          <w:sz w:val="22"/>
          <w:szCs w:val="22"/>
        </w:rPr>
        <w:t xml:space="preserve"> the weighted score, arguing </w:t>
      </w:r>
      <w:r>
        <w:rPr>
          <w:rFonts w:ascii="Arial" w:cs="Arial" w:eastAsia="Arial" w:hAnsi="Arial"/>
          <w:i/>
          <w:iCs/>
          <w:sz w:val="22"/>
          <w:szCs w:val="22"/>
        </w:rPr>
        <w:t xml:space="preserve">for</w:t>
      </w:r>
      <w:r>
        <w:rPr>
          <w:rFonts w:ascii="Arial" w:cs="Arial" w:eastAsia="Arial" w:hAnsi="Arial"/>
          <w:sz w:val="22"/>
          <w:szCs w:val="22"/>
        </w:rPr>
        <w:t xml:space="preserve"> protective standards. Jerome County, with a $639 million agricultural economy anchored in dairy and irrigated crops, is not in fiscal distress. Its economy is strong </w:t>
      </w:r>
      <w:r>
        <w:rPr>
          <w:rFonts w:ascii="Arial" w:cs="Arial" w:eastAsia="Arial" w:hAnsi="Arial"/>
          <w:i/>
          <w:iCs/>
          <w:sz w:val="22"/>
          <w:szCs w:val="22"/>
        </w:rPr>
        <w:t xml:space="preserve">because of</w:t>
      </w:r>
      <w:r>
        <w:rPr>
          <w:rFonts w:ascii="Arial" w:cs="Arial" w:eastAsia="Arial" w:hAnsi="Arial"/>
          <w:sz w:val="22"/>
          <w:szCs w:val="22"/>
        </w:rPr>
        <w:t xml:space="preserve"> its agricultural land, not despite it.</w:t>
      </w:r>
    </w:p>
    <w:p>
      <w:pPr>
        <w:spacing w:after="160" w:before="0" w:line="276"/>
      </w:pPr>
      <w:r>
        <w:rPr>
          <w:rFonts w:ascii="Arial" w:cs="Arial" w:eastAsia="Arial" w:hAnsi="Arial"/>
          <w:sz w:val="22"/>
          <w:szCs w:val="22"/>
          <w:vertAlign w:val="superscript"/>
        </w:rPr>
        <w:t xml:space="preserve">15</w:t>
      </w:r>
    </w:p>
    <w:p>
      <w:pPr>
        <w:spacing w:after="160" w:before="0" w:line="276"/>
      </w:pPr>
      <w:r>
        <w:rPr>
          <w:rFonts w:ascii="Arial" w:cs="Arial" w:eastAsia="Arial" w:hAnsi="Arial"/>
          <w:sz w:val="22"/>
          <w:szCs w:val="22"/>
        </w:rPr>
        <w:t xml:space="preserve">The premise that individual farm financial difficulty justifies county-wide policy weakening is a non sequitur. A farmer in financial difficulty who leases irrigated cropland for a 30-year solar installation permanently removes that acreage from the feed supply that supports neighboring dairy operations, depresses the agricultural value of adjacent parcels, and shifts the economic externalities of that decision onto non-participating landowners. The county’s role is to protect the collective agricultural interest—not to facilitate individual transactions that undermine it.</w:t>
      </w:r>
    </w:p>
    <w:p>
      <w:pPr>
        <w:spacing w:after="160" w:before="0" w:line="276"/>
      </w:pPr>
      <w:r>
        <w:rPr>
          <w:rFonts w:ascii="Arial" w:cs="Arial" w:eastAsia="Arial" w:hAnsi="Arial"/>
          <w:sz w:val="22"/>
          <w:szCs w:val="22"/>
        </w:rPr>
        <w:t xml:space="preserve">The community survey data reinforces this point. When asked directly whether energy development should be expanded to increase county tax revenue at the expense of agricultural land, or limited to protect farmland and rural character, </w:t>
      </w:r>
      <w:r>
        <w:rPr>
          <w:rFonts w:ascii="Arial" w:cs="Arial" w:eastAsia="Arial" w:hAnsi="Arial"/>
          <w:b/>
          <w:bCs/>
          <w:sz w:val="22"/>
          <w:szCs w:val="22"/>
        </w:rPr>
        <w:t xml:space="preserve">87.7% of respondents chose protection of farmland and rural character</w:t>
      </w:r>
      <w:r>
        <w:rPr>
          <w:rFonts w:ascii="Arial" w:cs="Arial" w:eastAsia="Arial" w:hAnsi="Arial"/>
          <w:sz w:val="22"/>
          <w:szCs w:val="22"/>
        </w:rPr>
        <w:t xml:space="preserve"> (Q9). Only 4.6% favored expansion at the expense of agriculture. The Commission’s “farmer financial stress” argument does not reflect the documented preferences of the community.</w:t>
      </w:r>
    </w:p>
    <w:p>
      <w:pPr>
        <w:pStyle w:val="Heading2"/>
        <w:spacing w:after="160" w:before="240"/>
      </w:pPr>
      <w:r>
        <w:rPr>
          <w:rFonts w:ascii="Arial" w:cs="Arial" w:eastAsia="Arial" w:hAnsi="Arial"/>
          <w:b/>
          <w:bCs/>
          <w:sz w:val="24"/>
          <w:szCs w:val="24"/>
        </w:rPr>
        <w:t xml:space="preserve">C. If Individual Landowner Financial Need Were Sufficient to Override Land Use Protections, No Zoning Ordinance Could Survive</w:t>
      </w:r>
    </w:p>
    <w:p>
      <w:pPr>
        <w:spacing w:after="160" w:before="0" w:line="276"/>
      </w:pPr>
      <w:r>
        <w:rPr>
          <w:rFonts w:ascii="Arial" w:cs="Arial" w:eastAsia="Arial" w:hAnsi="Arial"/>
          <w:sz w:val="22"/>
          <w:szCs w:val="22"/>
        </w:rPr>
        <w:t xml:space="preserve">Every zoning restriction in every county in Idaho limits what a property owner can do with their land. Agricultural zoning already prohibits landowners from building factories, operating commercial retail, or constructing high-density housing on farm ground. The Commission does not argue that these restrictions should be removed because some farmers are under financial pressure. The same principle applies to energy facilities: the question is not whether an individual landowner wants to lease their land, but whether the use is compatible with the county’s comprehensive plan and the welfare of adjacent property owners. That is the purpose of land use planning.</w:t>
      </w:r>
    </w:p>
    <w:p>
      <w:pPr>
        <w:pStyle w:val="Heading1"/>
        <w:spacing w:after="160" w:before="360"/>
      </w:pPr>
      <w:r>
        <w:rPr>
          <w:rFonts w:ascii="Arial" w:cs="Arial" w:eastAsia="Arial" w:hAnsi="Arial"/>
          <w:b/>
          <w:bCs/>
          <w:sz w:val="28"/>
          <w:szCs w:val="28"/>
        </w:rPr>
        <w:t xml:space="preserve">III. REBUTTAL TO FINDING 4: “The ‘Deemed Incompatible’ Language Is Too Categorical”</w:t>
      </w:r>
    </w:p>
    <w:p>
      <w:pPr>
        <w:spacing w:after="160" w:before="0" w:line="276"/>
      </w:pPr>
      <w:r>
        <w:rPr>
          <w:rFonts w:ascii="Arial" w:cs="Arial" w:eastAsia="Arial" w:hAnsi="Arial"/>
          <w:b/>
          <w:bCs/>
          <w:sz w:val="22"/>
          <w:szCs w:val="22"/>
        </w:rPr>
        <w:t xml:space="preserve">The Commission’s Claim: </w:t>
      </w:r>
      <w:r>
        <w:rPr>
          <w:rFonts w:ascii="Arial" w:cs="Arial" w:eastAsia="Arial" w:hAnsi="Arial"/>
          <w:sz w:val="22"/>
          <w:szCs w:val="22"/>
        </w:rPr>
        <w:t xml:space="preserve">Large-scale energy facilities and agriculture “may be compatible” and should be evaluated case-by-case through the CUP process. The Comprehensive Plan should not declare them categorically incompatible.</w:t>
      </w:r>
    </w:p>
    <w:p>
      <w:pPr>
        <w:pStyle w:val="Heading2"/>
        <w:spacing w:after="160" w:before="240"/>
      </w:pPr>
      <w:r>
        <w:rPr>
          <w:rFonts w:ascii="Arial" w:cs="Arial" w:eastAsia="Arial" w:hAnsi="Arial"/>
          <w:b/>
          <w:bCs/>
          <w:sz w:val="24"/>
          <w:szCs w:val="24"/>
        </w:rPr>
        <w:t xml:space="preserve">A. The USDA’s Own Agency Has Documented the Incompatibility</w:t>
      </w:r>
    </w:p>
    <w:p>
      <w:pPr>
        <w:spacing w:after="160" w:before="0" w:line="276"/>
      </w:pPr>
      <w:r>
        <w:rPr>
          <w:rFonts w:ascii="Arial" w:cs="Arial" w:eastAsia="Arial" w:hAnsi="Arial"/>
          <w:sz w:val="22"/>
          <w:szCs w:val="22"/>
        </w:rPr>
        <w:t xml:space="preserve">In December 2024, the USDA’s Natural Resources Conservation Service (NRCS) published </w:t>
      </w:r>
      <w:r>
        <w:rPr>
          <w:rFonts w:ascii="Arial" w:cs="Arial" w:eastAsia="Arial" w:hAnsi="Arial"/>
          <w:i/>
          <w:iCs/>
          <w:sz w:val="22"/>
          <w:szCs w:val="22"/>
        </w:rPr>
        <w:t xml:space="preserve">Conservation Guidance for Utility-Scale Solar Projects</w:t>
      </w:r>
      <w:r>
        <w:rPr>
          <w:rFonts w:ascii="Arial" w:cs="Arial" w:eastAsia="Arial" w:hAnsi="Arial"/>
          <w:sz w:val="22"/>
          <w:szCs w:val="22"/>
        </w:rPr>
        <w:t xml:space="preserve">—the agency’s first comprehensive guidance on the conservation impacts of utility-scale solar development on agricultural land. The NRCS identifies the following conservation resource concerns associated with solar facility construction on farmland: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Conservation Concern</w:t>
            </w:r>
          </w:p>
        </w:tc>
        <w:tc>
          <w:tcPr>
            <w:tcW w:type="dxa" w:w="656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NRCS-Documented Impact</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Soil compaction</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Heavy equipment during construction and maintenance compacts soil structure, reducing pore space, water infiltration, and root penetration</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Soil erosion</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Site grading, vegetation removal, and altered drainage patterns increase erosion by water and wind</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Loss of organic matter</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Removal of vegetation and topsoil disturbance depletes soil organic carbon, reducing fertility and water-holding capacity</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Drainage alteration</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Grading and impervious surfaces alter natural drainage patterns, affecting adjacent agricultural parcels and irrigation infrastructure</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Water ponding</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Altered topography and panel drip lines create concentrated water flow, leading to ponding and localized saturation</w:t>
            </w:r>
          </w:p>
        </w:tc>
      </w:tr>
      <w:tr>
        <w:tc>
          <w:tcPr>
            <w:tcW w:type="dxa" w:w="28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Pollutant introduction</w:t>
            </w:r>
          </w:p>
        </w:tc>
        <w:tc>
          <w:tcPr>
            <w:tcW w:type="dxa" w:w="65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Potential for heavy metals, panel cleaning chemicals, and BESS electrolyte leakage to contaminate soils and groundwater</w:t>
            </w:r>
          </w:p>
        </w:tc>
      </w:tr>
    </w:tbl>
    <w:p>
      <w:pPr>
        <w:spacing w:after="200" w:before="0" w:line="276"/>
      </w:pPr>
      <w:r>
        <w:rPr>
          <w:rFonts w:ascii="Arial" w:cs="Arial" w:eastAsia="Arial" w:hAnsi="Arial"/>
          <w:i/>
          <w:iCs/>
          <w:sz w:val="18"/>
          <w:szCs w:val="18"/>
        </w:rPr>
        <w:t xml:space="preserve">Source: USDA NRCS, Conservation Guidance for Utility-Scale Solar Projects (December 2024).</w:t>
      </w:r>
    </w:p>
    <w:p>
      <w:pPr>
        <w:spacing w:after="160" w:before="0" w:line="276"/>
      </w:pPr>
      <w:r>
        <w:rPr>
          <w:rFonts w:ascii="Arial" w:cs="Arial" w:eastAsia="Arial" w:hAnsi="Arial"/>
          <w:sz w:val="22"/>
          <w:szCs w:val="22"/>
          <w:vertAlign w:val="superscript"/>
        </w:rPr>
        <w:t xml:space="preserve">3</w:t>
      </w:r>
    </w:p>
    <w:p>
      <w:pPr>
        <w:spacing w:after="160" w:before="0" w:line="276"/>
      </w:pPr>
      <w:r>
        <w:rPr>
          <w:rFonts w:ascii="Arial" w:cs="Arial" w:eastAsia="Arial" w:hAnsi="Arial"/>
          <w:sz w:val="22"/>
          <w:szCs w:val="22"/>
        </w:rPr>
        <w:t xml:space="preserve">These are not hypothetical concerns raised by project opponents. They are the official conservation findings of the federal agency charged with protecting the nation’s soil resources.</w:t>
      </w:r>
    </w:p>
    <w:p>
      <w:pPr>
        <w:pStyle w:val="Heading2"/>
        <w:spacing w:after="160" w:before="240"/>
      </w:pPr>
      <w:r>
        <w:rPr>
          <w:rFonts w:ascii="Arial" w:cs="Arial" w:eastAsia="Arial" w:hAnsi="Arial"/>
          <w:b/>
          <w:bCs/>
          <w:sz w:val="24"/>
          <w:szCs w:val="24"/>
        </w:rPr>
        <w:t xml:space="preserve">B. Peer-Reviewed Research Confirms That Soil Degradation from Energy Facilities Is Long-Term to Permanent</w:t>
      </w:r>
    </w:p>
    <w:p>
      <w:pPr>
        <w:spacing w:after="160" w:before="0" w:line="276"/>
      </w:pPr>
      <w:r>
        <w:rPr>
          <w:rFonts w:ascii="Arial" w:cs="Arial" w:eastAsia="Arial" w:hAnsi="Arial"/>
          <w:b/>
          <w:bCs/>
          <w:sz w:val="22"/>
          <w:szCs w:val="22"/>
        </w:rPr>
        <w:t xml:space="preserve">North Carolina State University Cooperative Extension</w:t>
      </w:r>
      <w:r>
        <w:rPr>
          <w:rFonts w:ascii="Arial" w:cs="Arial" w:eastAsia="Arial" w:hAnsi="Arial"/>
          <w:sz w:val="22"/>
          <w:szCs w:val="22"/>
        </w:rPr>
        <w:t xml:space="preserve"> (2021) found that after a solar facility is decommissioned, “one should anticipate </w:t>
      </w:r>
      <w:r>
        <w:rPr>
          <w:rFonts w:ascii="Arial" w:cs="Arial" w:eastAsia="Arial" w:hAnsi="Arial"/>
          <w:b/>
          <w:bCs/>
          <w:sz w:val="22"/>
          <w:szCs w:val="22"/>
        </w:rPr>
        <w:t xml:space="preserve">20–40% reduced crop yield for 3–5 years</w:t>
      </w:r>
      <w:r>
        <w:rPr>
          <w:rFonts w:ascii="Arial" w:cs="Arial" w:eastAsia="Arial" w:hAnsi="Arial"/>
          <w:sz w:val="22"/>
          <w:szCs w:val="22"/>
        </w:rPr>
        <w:t xml:space="preserve"> as soil compaction issues are slowly resolved.” The study further noted that decommissioning costs approximately $30,000 per megawatt, and that heavy metal contamination remediation alone was estimated at over $2,500 per acre. Essential plant nutrients leach during the solar production period, requiring complete replacement before agricultural resumption.</w:t>
      </w:r>
    </w:p>
    <w:p>
      <w:pPr>
        <w:spacing w:after="160" w:before="0" w:line="276"/>
      </w:pPr>
      <w:r>
        <w:rPr>
          <w:rFonts w:ascii="Arial" w:cs="Arial" w:eastAsia="Arial" w:hAnsi="Arial"/>
          <w:sz w:val="22"/>
          <w:szCs w:val="22"/>
          <w:vertAlign w:val="superscript"/>
        </w:rPr>
        <w:t xml:space="preserve">4</w:t>
      </w:r>
      <w:r>
        <w:rPr>
          <w:rFonts w:ascii="Arial" w:cs="Arial" w:eastAsia="Arial" w:hAnsi="Arial"/>
          <w:sz w:val="22"/>
          <w:szCs w:val="22"/>
        </w:rPr>
        <w:t xml:space="preserve"> </w:t>
      </w:r>
      <w:r>
        <w:rPr>
          <w:rFonts w:ascii="Arial" w:cs="Arial" w:eastAsia="Arial" w:hAnsi="Arial"/>
          <w:sz w:val="22"/>
          <w:szCs w:val="22"/>
          <w:vertAlign w:val="superscript"/>
        </w:rPr>
        <w:t xml:space="preserve">17</w:t>
      </w:r>
    </w:p>
    <w:p>
      <w:pPr>
        <w:spacing w:after="160" w:before="0" w:line="276"/>
      </w:pPr>
      <w:r>
        <w:rPr>
          <w:rFonts w:ascii="Arial" w:cs="Arial" w:eastAsia="Arial" w:hAnsi="Arial"/>
          <w:sz w:val="22"/>
          <w:szCs w:val="22"/>
        </w:rPr>
        <w:t xml:space="preserve">The </w:t>
      </w:r>
      <w:r>
        <w:rPr>
          <w:rFonts w:ascii="Arial" w:cs="Arial" w:eastAsia="Arial" w:hAnsi="Arial"/>
          <w:b/>
          <w:bCs/>
          <w:sz w:val="22"/>
          <w:szCs w:val="22"/>
        </w:rPr>
        <w:t xml:space="preserve">Welsh Government Soil Policy Evidence Programme</w:t>
      </w:r>
      <w:r>
        <w:rPr>
          <w:rFonts w:ascii="Arial" w:cs="Arial" w:eastAsia="Arial" w:hAnsi="Arial"/>
          <w:sz w:val="22"/>
          <w:szCs w:val="22"/>
        </w:rPr>
        <w:t xml:space="preserve"> (2023)—one of the most rigorous government-commissioned studies of solar impacts on agricultural soils—found that the “main impact of the construction, operational and decommissioning phases is </w:t>
      </w:r>
      <w:r>
        <w:rPr>
          <w:rFonts w:ascii="Arial" w:cs="Arial" w:eastAsia="Arial" w:hAnsi="Arial"/>
          <w:b/>
          <w:bCs/>
          <w:sz w:val="22"/>
          <w:szCs w:val="22"/>
        </w:rPr>
        <w:t xml:space="preserve">deep soil compaction resulting in the loss of versatility of Best and Most Versatile agricultural land</w:t>
      </w:r>
      <w:r>
        <w:rPr>
          <w:rFonts w:ascii="Arial" w:cs="Arial" w:eastAsia="Arial" w:hAnsi="Arial"/>
          <w:sz w:val="22"/>
          <w:szCs w:val="22"/>
        </w:rPr>
        <w:t xml:space="preserve">.” The study documented that recovery timescales “</w:t>
      </w:r>
      <w:r>
        <w:rPr>
          <w:rFonts w:ascii="Arial" w:cs="Arial" w:eastAsia="Arial" w:hAnsi="Arial"/>
          <w:b/>
          <w:bCs/>
          <w:sz w:val="22"/>
          <w:szCs w:val="22"/>
        </w:rPr>
        <w:t xml:space="preserve">vary from 18 to 30 years to being permanent</w:t>
      </w:r>
      <w:r>
        <w:rPr>
          <w:rFonts w:ascii="Arial" w:cs="Arial" w:eastAsia="Arial" w:hAnsi="Arial"/>
          <w:sz w:val="22"/>
          <w:szCs w:val="22"/>
        </w:rPr>
        <w:t xml:space="preserve">,” and that “at the point of decommissioning there is likely to be residual compaction within the soil.”</w:t>
      </w:r>
    </w:p>
    <w:p>
      <w:pPr>
        <w:spacing w:after="160" w:before="0" w:line="276"/>
      </w:pPr>
      <w:r>
        <w:rPr>
          <w:rFonts w:ascii="Arial" w:cs="Arial" w:eastAsia="Arial" w:hAnsi="Arial"/>
          <w:sz w:val="22"/>
          <w:szCs w:val="22"/>
          <w:vertAlign w:val="superscript"/>
        </w:rPr>
        <w:t xml:space="preserve">5</w:t>
      </w:r>
    </w:p>
    <w:p>
      <w:pPr>
        <w:spacing w:after="160" w:before="0" w:line="276"/>
      </w:pPr>
      <w:r>
        <w:rPr>
          <w:rFonts w:ascii="Arial" w:cs="Arial" w:eastAsia="Arial" w:hAnsi="Arial"/>
          <w:sz w:val="22"/>
          <w:szCs w:val="22"/>
        </w:rPr>
        <w:t xml:space="preserve">A peer-reviewed global assessment published in </w:t>
      </w:r>
      <w:r>
        <w:rPr>
          <w:rFonts w:ascii="Arial" w:cs="Arial" w:eastAsia="Arial" w:hAnsi="Arial"/>
          <w:i/>
          <w:iCs/>
          <w:sz w:val="22"/>
          <w:szCs w:val="22"/>
        </w:rPr>
        <w:t xml:space="preserve">Environmental Science &amp; Technology</w:t>
      </w:r>
      <w:r>
        <w:rPr>
          <w:rFonts w:ascii="Arial" w:cs="Arial" w:eastAsia="Arial" w:hAnsi="Arial"/>
          <w:sz w:val="22"/>
          <w:szCs w:val="22"/>
        </w:rPr>
        <w:t xml:space="preserve"> (2022) quantified agricultural productivity losses from soil compaction at scale, confirming that compaction-related yield losses are a significant and persistent global problem—not a marginal or easily remediated impact.</w:t>
      </w:r>
    </w:p>
    <w:p>
      <w:pPr>
        <w:spacing w:after="160" w:before="0" w:line="276"/>
      </w:pPr>
      <w:r>
        <w:rPr>
          <w:rFonts w:ascii="Arial" w:cs="Arial" w:eastAsia="Arial" w:hAnsi="Arial"/>
          <w:sz w:val="22"/>
          <w:szCs w:val="22"/>
          <w:vertAlign w:val="superscript"/>
        </w:rPr>
        <w:t xml:space="preserve">16</w:t>
      </w:r>
    </w:p>
    <w:p>
      <w:pPr>
        <w:pStyle w:val="Heading2"/>
        <w:spacing w:after="160" w:before="240"/>
      </w:pPr>
      <w:r>
        <w:rPr>
          <w:rFonts w:ascii="Arial" w:cs="Arial" w:eastAsia="Arial" w:hAnsi="Arial"/>
          <w:b/>
          <w:bCs/>
          <w:sz w:val="24"/>
          <w:szCs w:val="24"/>
        </w:rPr>
        <w:t xml:space="preserve">C. The Commission’s Assertion That Wind and Solar Are “By Their Nature a Reversible Loss” Is Factually Incorrect</w:t>
      </w:r>
    </w:p>
    <w:p>
      <w:pPr>
        <w:spacing w:after="160" w:before="0" w:line="276"/>
      </w:pPr>
      <w:r>
        <w:rPr>
          <w:rFonts w:ascii="Arial" w:cs="Arial" w:eastAsia="Arial" w:hAnsi="Arial"/>
          <w:sz w:val="22"/>
          <w:szCs w:val="22"/>
        </w:rPr>
        <w:t xml:space="preserve">The Commission stated that wind and solar development represents a “reversible loss of farm ground.” This assertion is contradicted by every source cited above. To summarize the evidence: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Source</w:t>
            </w:r>
          </w:p>
        </w:tc>
        <w:tc>
          <w:tcPr>
            <w:tcW w:type="dxa" w:w="636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Finding on Reversibility</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U.S. Congress (FPPA)</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Uses the term “irreversible conversion” to describe farmland loss to non-agricultural use</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USDA NRCS (Dec. 2024)</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Documents six categories of soil conservation damage from solar construction on farmland</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NC State University (2021)</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20–40% crop yield reduction for 3–5 years post-decommission; heavy metal remediation at $2,500+/acre</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Welsh Government (2023)</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Recovery timescales: 18–30 years to permanent. “Residual compaction” likely at decommission</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American Farmland Trust</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Classifies conversion as “loss”—not temporary use—in Farms Under Threat national assessment</w:t>
            </w:r>
          </w:p>
        </w:tc>
      </w:tr>
      <w:tr>
        <w:tc>
          <w:tcPr>
            <w:tcW w:type="dxa" w:w="3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Gov. Little / SB 1133 (2025)</w:t>
            </w:r>
          </w:p>
        </w:tc>
        <w:tc>
          <w:tcPr>
            <w:tcW w:type="dxa" w:w="6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Signed into law a prohibition on solar/wind on APA lands—reflecting legislative determination that the conversion is not benign</w:t>
            </w:r>
          </w:p>
        </w:tc>
      </w:tr>
    </w:tbl>
    <w:p>
      <w:pPr>
        <w:spacing w:after="200" w:before="0" w:line="276"/>
      </w:pPr>
      <w:r>
        <w:rPr>
          <w:rFonts w:ascii="Arial" w:cs="Arial" w:eastAsia="Arial" w:hAnsi="Arial"/>
          <w:b w:val="false"/>
          <w:bCs w:val="false"/>
          <w:i w:val="false"/>
          <w:iCs w:val="false"/>
          <w:sz w:val="22"/>
          <w:szCs w:val="22"/>
        </w:rPr>
        <w:t xml:space="preserve"/>
      </w:r>
    </w:p>
    <w:p>
      <w:pPr>
        <w:spacing w:after="160" w:before="0" w:line="276"/>
      </w:pPr>
      <w:r>
        <w:rPr>
          <w:rFonts w:ascii="Arial" w:cs="Arial" w:eastAsia="Arial" w:hAnsi="Arial"/>
          <w:sz w:val="22"/>
          <w:szCs w:val="22"/>
        </w:rPr>
        <w:t xml:space="preserve">The Commission’s “reversible loss” assertion is not supported by any cited study, any USDA publication, or any peer-reviewed agricultural science. It is a rhetorical characterization without evidentiary foundation. Community sentiment confirms the scientific consensus: </w:t>
      </w:r>
      <w:r>
        <w:rPr>
          <w:rFonts w:ascii="Arial" w:cs="Arial" w:eastAsia="Arial" w:hAnsi="Arial"/>
          <w:b/>
          <w:bCs/>
          <w:sz w:val="22"/>
          <w:szCs w:val="22"/>
        </w:rPr>
        <w:t xml:space="preserve">90.8% of survey respondents rate decommissioning and financial assurance as extremely important</w:t>
      </w:r>
      <w:r>
        <w:rPr>
          <w:rFonts w:ascii="Arial" w:cs="Arial" w:eastAsia="Arial" w:hAnsi="Arial"/>
          <w:sz w:val="22"/>
          <w:szCs w:val="22"/>
        </w:rPr>
        <w:t xml:space="preserve"> (Q8), reflecting the community’s understanding that once agricultural soil is damaged by industrial energy construction, restoration is neither automatic nor guaranteed.</w:t>
      </w:r>
    </w:p>
    <w:p>
      <w:pPr>
        <w:pStyle w:val="Heading1"/>
        <w:spacing w:after="160" w:before="360"/>
      </w:pPr>
      <w:r>
        <w:rPr>
          <w:rFonts w:ascii="Arial" w:cs="Arial" w:eastAsia="Arial" w:hAnsi="Arial"/>
          <w:b/>
          <w:bCs/>
          <w:sz w:val="28"/>
          <w:szCs w:val="28"/>
        </w:rPr>
        <w:t xml:space="preserve">IV. REBUTTAL TO FINDING 5: “Directing Facilities to BLM/Wasteland Is Not Viable”</w:t>
      </w:r>
    </w:p>
    <w:p>
      <w:pPr>
        <w:spacing w:after="160" w:before="0" w:line="276"/>
      </w:pPr>
      <w:r>
        <w:rPr>
          <w:rFonts w:ascii="Arial" w:cs="Arial" w:eastAsia="Arial" w:hAnsi="Arial"/>
          <w:b/>
          <w:bCs/>
          <w:sz w:val="22"/>
          <w:szCs w:val="22"/>
        </w:rPr>
        <w:t xml:space="preserve">The Commission’s Claim: </w:t>
      </w:r>
      <w:r>
        <w:rPr>
          <w:rFonts w:ascii="Arial" w:cs="Arial" w:eastAsia="Arial" w:hAnsi="Arial"/>
          <w:sz w:val="22"/>
          <w:szCs w:val="22"/>
        </w:rPr>
        <w:t xml:space="preserve">Developing rock outcroppings and basalt fields “can be cost prohibitive and is unquestionably an irreversible loss to the County’s cultural and environmental history.” The Commission suggests that directing energy development to non-agricultural land is not a realistic alternative.</w:t>
      </w:r>
    </w:p>
    <w:p>
      <w:pPr>
        <w:pStyle w:val="Heading2"/>
        <w:spacing w:after="160" w:before="240"/>
      </w:pPr>
      <w:r>
        <w:rPr>
          <w:rFonts w:ascii="Arial" w:cs="Arial" w:eastAsia="Arial" w:hAnsi="Arial"/>
          <w:b/>
          <w:bCs/>
          <w:sz w:val="24"/>
          <w:szCs w:val="24"/>
        </w:rPr>
        <w:t xml:space="preserve">A. The Commission’s Argument Proves the Point—It Does Not Refute It</w:t>
      </w:r>
    </w:p>
    <w:p>
      <w:pPr>
        <w:spacing w:after="160" w:before="0" w:line="276"/>
      </w:pPr>
      <w:r>
        <w:rPr>
          <w:rFonts w:ascii="Arial" w:cs="Arial" w:eastAsia="Arial" w:hAnsi="Arial"/>
          <w:sz w:val="22"/>
          <w:szCs w:val="22"/>
        </w:rPr>
        <w:t xml:space="preserve">The Commission argues that developing desert land, rock outcroppings, and basalt lava fields is an “irreversible loss to the County’s cultural and environmental history.” </w:t>
      </w:r>
      <w:r>
        <w:rPr>
          <w:rFonts w:ascii="Arial" w:cs="Arial" w:eastAsia="Arial" w:hAnsi="Arial"/>
          <w:b/>
          <w:bCs/>
          <w:sz w:val="22"/>
          <w:szCs w:val="22"/>
        </w:rPr>
        <w:t xml:space="preserve">I agree completely.</w:t>
      </w:r>
      <w:r>
        <w:rPr>
          <w:rFonts w:ascii="Arial" w:cs="Arial" w:eastAsia="Arial" w:hAnsi="Arial"/>
          <w:sz w:val="22"/>
          <w:szCs w:val="22"/>
        </w:rPr>
        <w:t xml:space="preserve"> Jerome County’s public lands—its basalt formations, sagebrush rangelands, canyon rims, and desert landscapes—are part of the county’s identity, its environmental heritage, and its cultural character. They deserve protection. The Commission is right to recognize that industrial-scale energy development on these lands would cause irreversible harm.</w:t>
      </w:r>
    </w:p>
    <w:p>
      <w:pPr>
        <w:spacing w:after="160" w:before="0" w:line="276"/>
      </w:pPr>
      <w:r>
        <w:rPr>
          <w:rFonts w:ascii="Arial" w:cs="Arial" w:eastAsia="Arial" w:hAnsi="Arial"/>
          <w:sz w:val="22"/>
          <w:szCs w:val="22"/>
        </w:rPr>
        <w:t xml:space="preserve">But the Commission’s own reasoning leads to a conclusion the Commission does not draw. If converting basalt lava fields to industrial energy use is an “irreversible loss”—and it is—then converting </w:t>
      </w:r>
      <w:r>
        <w:rPr>
          <w:rFonts w:ascii="Arial" w:cs="Arial" w:eastAsia="Arial" w:hAnsi="Arial"/>
          <w:i/>
          <w:iCs/>
          <w:sz w:val="22"/>
          <w:szCs w:val="22"/>
        </w:rPr>
        <w:t xml:space="preserve">prime irrigated farmland</w:t>
      </w:r>
      <w:r>
        <w:rPr>
          <w:rFonts w:ascii="Arial" w:cs="Arial" w:eastAsia="Arial" w:hAnsi="Arial"/>
          <w:sz w:val="22"/>
          <w:szCs w:val="22"/>
        </w:rPr>
        <w:t xml:space="preserve"> to the same industrial use is </w:t>
      </w:r>
      <w:r>
        <w:rPr>
          <w:rFonts w:ascii="Arial" w:cs="Arial" w:eastAsia="Arial" w:hAnsi="Arial"/>
          <w:i/>
          <w:iCs/>
          <w:sz w:val="22"/>
          <w:szCs w:val="22"/>
        </w:rPr>
        <w:t xml:space="preserve">at least</w:t>
      </w:r>
      <w:r>
        <w:rPr>
          <w:rFonts w:ascii="Arial" w:cs="Arial" w:eastAsia="Arial" w:hAnsi="Arial"/>
          <w:sz w:val="22"/>
          <w:szCs w:val="22"/>
        </w:rPr>
        <w:t xml:space="preserve"> an equally irreversible loss, and by every economic, ecological, and food-security measure, a more consequential one. The principle is the same. The land is different, but the harm is not.</w:t>
      </w:r>
    </w:p>
    <w:p>
      <w:pPr>
        <w:spacing w:after="160" w:before="0" w:line="276"/>
      </w:pPr>
      <w:r>
        <w:rPr>
          <w:rFonts w:ascii="Arial" w:cs="Arial" w:eastAsia="Arial" w:hAnsi="Arial"/>
          <w:sz w:val="22"/>
          <w:szCs w:val="22"/>
        </w:rPr>
        <w:t xml:space="preserve">The Commission cannot coherently argue that basalt formations warrant protection from industrial energy conversion while simultaneously arguing that Class I and Class II irrigated soils—producing $639 million in annual agricultural value, supporting a nationally significant dairy industry, and sustaining the livelihoods of farming families across the county—do not. If irreversible conversion of public land is a harm worth preventing, then irreversible conversion of the county’s most productive farmland is a harm worth preventing with at least equal force.</w:t>
      </w:r>
    </w:p>
    <w:p>
      <w:pPr>
        <w:spacing w:after="160" w:before="0" w:line="276"/>
      </w:pPr>
      <w:r>
        <w:rPr>
          <w:rFonts w:ascii="Arial" w:cs="Arial" w:eastAsia="Arial" w:hAnsi="Arial"/>
          <w:sz w:val="22"/>
          <w:szCs w:val="22"/>
        </w:rPr>
        <w:t xml:space="preserve">This is not an argument for sacrificing one type of land to save another. It is an argument that </w:t>
      </w:r>
      <w:r>
        <w:rPr>
          <w:rFonts w:ascii="Arial" w:cs="Arial" w:eastAsia="Arial" w:hAnsi="Arial"/>
          <w:b/>
          <w:bCs/>
          <w:sz w:val="22"/>
          <w:szCs w:val="22"/>
        </w:rPr>
        <w:t xml:space="preserve">both</w:t>
      </w:r>
      <w:r>
        <w:rPr>
          <w:rFonts w:ascii="Arial" w:cs="Arial" w:eastAsia="Arial" w:hAnsi="Arial"/>
          <w:sz w:val="22"/>
          <w:szCs w:val="22"/>
        </w:rPr>
        <w:t xml:space="preserve"> deserve protection—and that the Commission’s own finding on public land provides the strongest possible justification for extending the same protective principle to agricultural land. Energy developers should not be directed to destroy one irreplaceable resource in order to spare another. They should be required to demonstrate that their projects can be sited without irreversible harm to either.</w:t>
      </w:r>
    </w:p>
    <w:p>
      <w:pPr>
        <w:pStyle w:val="Heading2"/>
        <w:spacing w:after="160" w:before="240"/>
      </w:pPr>
      <w:r>
        <w:rPr>
          <w:rFonts w:ascii="Arial" w:cs="Arial" w:eastAsia="Arial" w:hAnsi="Arial"/>
          <w:b/>
          <w:bCs/>
          <w:sz w:val="24"/>
          <w:szCs w:val="24"/>
        </w:rPr>
        <w:t xml:space="preserve">B. Non-Agricultural Siting Alternatives Are Real and Growing Nationally</w:t>
      </w:r>
    </w:p>
    <w:p>
      <w:pPr>
        <w:spacing w:after="160" w:before="0" w:line="276"/>
      </w:pPr>
      <w:r>
        <w:rPr>
          <w:rFonts w:ascii="Arial" w:cs="Arial" w:eastAsia="Arial" w:hAnsi="Arial"/>
          <w:sz w:val="22"/>
          <w:szCs w:val="22"/>
        </w:rPr>
        <w:t xml:space="preserve">The U.S. Environmental Protection Agency’s </w:t>
      </w:r>
      <w:r>
        <w:rPr>
          <w:rFonts w:ascii="Arial" w:cs="Arial" w:eastAsia="Arial" w:hAnsi="Arial"/>
          <w:b/>
          <w:bCs/>
          <w:sz w:val="22"/>
          <w:szCs w:val="22"/>
        </w:rPr>
        <w:t xml:space="preserve">RE-Powering America’s Land Initiative</w:t>
      </w:r>
      <w:r>
        <w:rPr>
          <w:rFonts w:ascii="Arial" w:cs="Arial" w:eastAsia="Arial" w:hAnsi="Arial"/>
          <w:sz w:val="22"/>
          <w:szCs w:val="22"/>
        </w:rPr>
        <w:t xml:space="preserve"> has pre-screened </w:t>
      </w:r>
      <w:r>
        <w:rPr>
          <w:rFonts w:ascii="Arial" w:cs="Arial" w:eastAsia="Arial" w:hAnsi="Arial"/>
          <w:b/>
          <w:bCs/>
          <w:sz w:val="22"/>
          <w:szCs w:val="22"/>
        </w:rPr>
        <w:t xml:space="preserve">190,000 acres</w:t>
      </w:r>
      <w:r>
        <w:rPr>
          <w:rFonts w:ascii="Arial" w:cs="Arial" w:eastAsia="Arial" w:hAnsi="Arial"/>
          <w:sz w:val="22"/>
          <w:szCs w:val="22"/>
        </w:rPr>
        <w:t xml:space="preserve"> of brownfields, Superfund sites, landfills, and mine sites for renewable energy development. As of 2024, there are more than </w:t>
      </w:r>
      <w:r>
        <w:rPr>
          <w:rFonts w:ascii="Arial" w:cs="Arial" w:eastAsia="Arial" w:hAnsi="Arial"/>
          <w:b/>
          <w:bCs/>
          <w:sz w:val="22"/>
          <w:szCs w:val="22"/>
        </w:rPr>
        <w:t xml:space="preserve">624 active “brightfield” projects</w:t>
      </w:r>
      <w:r>
        <w:rPr>
          <w:rFonts w:ascii="Arial" w:cs="Arial" w:eastAsia="Arial" w:hAnsi="Arial"/>
          <w:sz w:val="22"/>
          <w:szCs w:val="22"/>
        </w:rPr>
        <w:t xml:space="preserve"> operating on brownfields and closed landfills nationwide.</w:t>
      </w:r>
    </w:p>
    <w:p>
      <w:pPr>
        <w:spacing w:after="160" w:before="0" w:line="276"/>
      </w:pPr>
      <w:r>
        <w:rPr>
          <w:rFonts w:ascii="Arial" w:cs="Arial" w:eastAsia="Arial" w:hAnsi="Arial"/>
          <w:sz w:val="22"/>
          <w:szCs w:val="22"/>
          <w:vertAlign w:val="superscript"/>
        </w:rPr>
        <w:t xml:space="preserve">11</w:t>
      </w:r>
    </w:p>
    <w:p>
      <w:pPr>
        <w:spacing w:after="160" w:before="0" w:line="276"/>
      </w:pPr>
      <w:r>
        <w:rPr>
          <w:rFonts w:ascii="Arial" w:cs="Arial" w:eastAsia="Arial" w:hAnsi="Arial"/>
          <w:sz w:val="22"/>
          <w:szCs w:val="22"/>
        </w:rPr>
        <w:t xml:space="preserve">The Inflation Reduction Act (IRA) provides a </w:t>
      </w:r>
      <w:r>
        <w:rPr>
          <w:rFonts w:ascii="Arial" w:cs="Arial" w:eastAsia="Arial" w:hAnsi="Arial"/>
          <w:b/>
          <w:bCs/>
          <w:sz w:val="22"/>
          <w:szCs w:val="22"/>
        </w:rPr>
        <w:t xml:space="preserve">10% tax credit bonus</w:t>
      </w:r>
      <w:r>
        <w:rPr>
          <w:rFonts w:ascii="Arial" w:cs="Arial" w:eastAsia="Arial" w:hAnsi="Arial"/>
          <w:sz w:val="22"/>
          <w:szCs w:val="22"/>
        </w:rPr>
        <w:t xml:space="preserve"> for renewable energy projects sited in “energy communities,” which includes brownfields and certain closed coal mines. This federal incentive directly addresses the cost differential that the Commission asserts makes non-agricultural siting infeasible.</w:t>
      </w:r>
    </w:p>
    <w:p>
      <w:pPr>
        <w:spacing w:after="160" w:before="0" w:line="276"/>
      </w:pPr>
      <w:r>
        <w:rPr>
          <w:rFonts w:ascii="Arial" w:cs="Arial" w:eastAsia="Arial" w:hAnsi="Arial"/>
          <w:sz w:val="22"/>
          <w:szCs w:val="22"/>
        </w:rPr>
        <w:t xml:space="preserve">The practical implication is significant: if both public lands and prime farmland warrant protection from irreversible industrial conversion—and the evidence supports protecting both—then the burden falls squarely on energy developers to identify sites that do not require the destruction of either. Nationally, that is precisely what the EPA’s RE-Powering initiative, the IRA’s energy community tax incentives, and the growing brightfield movement are designed to facilitate: directing energy development to already-disturbed, already-degraded, or already-industrial land rather than converting intact natural or agricultural landscapes.</w:t>
      </w:r>
    </w:p>
    <w:p>
      <w:pPr>
        <w:pStyle w:val="Heading2"/>
        <w:spacing w:after="160" w:before="240"/>
      </w:pPr>
      <w:r>
        <w:rPr>
          <w:rFonts w:ascii="Arial" w:cs="Arial" w:eastAsia="Arial" w:hAnsi="Arial"/>
          <w:b/>
          <w:bCs/>
          <w:sz w:val="24"/>
          <w:szCs w:val="24"/>
        </w:rPr>
        <w:t xml:space="preserve">C. The Cost Argument Is an Industry Argument, Not a Community Protection Argument</w:t>
      </w:r>
    </w:p>
    <w:p>
      <w:pPr>
        <w:spacing w:after="160" w:before="0" w:line="276"/>
      </w:pPr>
      <w:r>
        <w:rPr>
          <w:rFonts w:ascii="Arial" w:cs="Arial" w:eastAsia="Arial" w:hAnsi="Arial"/>
          <w:sz w:val="22"/>
          <w:szCs w:val="22"/>
        </w:rPr>
        <w:t xml:space="preserve">The Commission’s assertion that non-agricultural siting is “cost prohibitive” restates the preference of energy developers, not the interest of the county. Flat, irrigated farmland with existing road access and proximity to transmission is cheaper to develop than alternatives. That is precisely why 83% of projected solar development nationally targets agricultural land. But the county’s role is not to optimize developer economics—it is to protect the resources the Comprehensive Plan identifies as essential to the county’s future. That includes both the agricultural soils and irrigation infrastructure that sustain the county’s $639 million farming economy, and the public lands and natural landscapes that define its cultural and environmental character. If a project cannot be sited without irreversibly converting either, the project has not demonstrated compatibility with the county’s values.</w:t>
      </w:r>
    </w:p>
    <w:p>
      <w:pPr>
        <w:spacing w:after="160" w:before="0" w:line="276"/>
      </w:pPr>
      <w:r>
        <w:rPr>
          <w:rFonts w:ascii="Arial" w:cs="Arial" w:eastAsia="Arial" w:hAnsi="Arial"/>
          <w:sz w:val="22"/>
          <w:szCs w:val="22"/>
        </w:rPr>
        <w:t xml:space="preserve">The CSPM’s </w:t>
      </w:r>
      <w:r>
        <w:rPr>
          <w:rFonts w:ascii="Arial" w:cs="Arial" w:eastAsia="Arial" w:hAnsi="Arial"/>
          <w:b/>
          <w:bCs/>
          <w:sz w:val="22"/>
          <w:szCs w:val="22"/>
        </w:rPr>
        <w:t xml:space="preserve">Infrastructure Capacity dimension</w:t>
      </w:r>
      <w:r>
        <w:rPr>
          <w:rFonts w:ascii="Arial" w:cs="Arial" w:eastAsia="Arial" w:hAnsi="Arial"/>
          <w:sz w:val="22"/>
          <w:szCs w:val="22"/>
        </w:rPr>
        <w:t xml:space="preserve"> and </w:t>
      </w:r>
      <w:r>
        <w:rPr>
          <w:rFonts w:ascii="Arial" w:cs="Arial" w:eastAsia="Arial" w:hAnsi="Arial"/>
          <w:b/>
          <w:bCs/>
          <w:sz w:val="22"/>
          <w:szCs w:val="22"/>
        </w:rPr>
        <w:t xml:space="preserve">Agricultural Protection dimension</w:t>
      </w:r>
      <w:r>
        <w:rPr>
          <w:rFonts w:ascii="Arial" w:cs="Arial" w:eastAsia="Arial" w:hAnsi="Arial"/>
          <w:sz w:val="22"/>
          <w:szCs w:val="22"/>
        </w:rPr>
        <w:t xml:space="preserve"> together carry the highest combined weighting in the framework (×2.5 and ×2.0 respectively—a combined 45 of 100 possible points). This weighting reflects the policy judgment that when infrastructure constraints and agricultural resource protection score high, the county’s posture should lean strongly toward restriction, regardless of developer cost preferences.</w:t>
      </w:r>
    </w:p>
    <w:p>
      <w:pPr>
        <w:pStyle w:val="Heading1"/>
        <w:spacing w:after="160" w:before="360"/>
      </w:pPr>
      <w:r>
        <w:rPr>
          <w:rFonts w:ascii="Arial" w:cs="Arial" w:eastAsia="Arial" w:hAnsi="Arial"/>
          <w:b/>
          <w:bCs/>
          <w:sz w:val="28"/>
          <w:szCs w:val="28"/>
        </w:rPr>
        <w:t xml:space="preserve">V. SUPPLEMENTAL: THE COMMISSION’S REMOVAL OF PROPERTY VALUE PROTECTIONS IGNORES PEER-REVIEWED EVIDENCE</w:t>
      </w:r>
    </w:p>
    <w:p>
      <w:pPr>
        <w:spacing w:after="160" w:before="0" w:line="276"/>
      </w:pPr>
      <w:r>
        <w:rPr>
          <w:rFonts w:ascii="Arial" w:cs="Arial" w:eastAsia="Arial" w:hAnsi="Arial"/>
          <w:sz w:val="22"/>
          <w:szCs w:val="22"/>
        </w:rPr>
        <w:t xml:space="preserve">Although not one of the four findings addressed above, the Commission’s Chapter 7 recommendation to </w:t>
      </w:r>
      <w:r>
        <w:rPr>
          <w:rFonts w:ascii="Arial" w:cs="Arial" w:eastAsia="Arial" w:hAnsi="Arial"/>
          <w:i/>
          <w:iCs/>
          <w:sz w:val="22"/>
          <w:szCs w:val="22"/>
        </w:rPr>
        <w:t xml:space="preserve">remove</w:t>
      </w:r>
      <w:r>
        <w:rPr>
          <w:rFonts w:ascii="Arial" w:cs="Arial" w:eastAsia="Arial" w:hAnsi="Arial"/>
          <w:sz w:val="22"/>
          <w:szCs w:val="22"/>
        </w:rPr>
        <w:t xml:space="preserve"> Section 7-6.02(C)—which would have made property value impact a factor in CUP review—warrants brief response because it reflects the same analytical error: dismissing a documented impact as “difficult to quantify.”</w:t>
      </w:r>
    </w:p>
    <w:p>
      <w:pPr>
        <w:spacing w:after="160" w:before="0" w:line="276"/>
      </w:pPr>
      <w:r>
        <w:rPr>
          <w:rFonts w:ascii="Arial" w:cs="Arial" w:eastAsia="Arial" w:hAnsi="Arial"/>
          <w:sz w:val="22"/>
          <w:szCs w:val="22"/>
        </w:rPr>
        <w:t xml:space="preserve">The most comprehensive peer-reviewed study on this question was published in the </w:t>
      </w:r>
      <w:r>
        <w:rPr>
          <w:rFonts w:ascii="Arial" w:cs="Arial" w:eastAsia="Arial" w:hAnsi="Arial"/>
          <w:b/>
          <w:bCs/>
          <w:sz w:val="22"/>
          <w:szCs w:val="22"/>
        </w:rPr>
        <w:t xml:space="preserve">Proceedings of the National Academy of Sciences (PNAS)</w:t>
      </w:r>
      <w:r>
        <w:rPr>
          <w:rFonts w:ascii="Arial" w:cs="Arial" w:eastAsia="Arial" w:hAnsi="Arial"/>
          <w:sz w:val="22"/>
          <w:szCs w:val="22"/>
        </w:rPr>
        <w:t xml:space="preserve"> in 2025. Analyzing a nationwide dataset of property transactions near large-scale solar installations, the study found: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c>
          <w:tcPr>
            <w:tcW w:type="dxa" w:w="40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Finding</w:t>
            </w:r>
          </w:p>
        </w:tc>
        <w:tc>
          <w:tcPr>
            <w:tcW w:type="dxa" w:w="536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Data</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Residential property value decline (within 3 mi)</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−4.8% average</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Agricultural/vacant land value change (within 2 mi)</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+19.4% (benefits participating landowners only)</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Mechanism</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Proximity stigma effect; diminishes with distance and time</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Policy implication (per authors)</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“Local impacts are neither well quantified nor widely recognized; policies and common practices are lacking to mitigate potential welfare losses”</w:t>
            </w:r>
          </w:p>
        </w:tc>
      </w:tr>
    </w:tbl>
    <w:p>
      <w:pPr>
        <w:spacing w:after="120" w:before="0" w:line="276"/>
      </w:pPr>
      <w:r>
        <w:rPr>
          <w:rFonts w:ascii="Arial" w:cs="Arial" w:eastAsia="Arial" w:hAnsi="Arial"/>
          <w:i/>
          <w:iCs/>
          <w:sz w:val="18"/>
          <w:szCs w:val="18"/>
        </w:rPr>
        <w:t xml:space="preserve">Source: Hoen et al., PNAS (2025).</w:t>
      </w:r>
    </w:p>
    <w:p>
      <w:pPr>
        <w:spacing w:after="160" w:before="0" w:line="276"/>
      </w:pPr>
      <w:r>
        <w:rPr>
          <w:rFonts w:ascii="Arial" w:cs="Arial" w:eastAsia="Arial" w:hAnsi="Arial"/>
          <w:sz w:val="22"/>
          <w:szCs w:val="22"/>
          <w:vertAlign w:val="superscript"/>
        </w:rPr>
        <w:t xml:space="preserve">6</w:t>
      </w:r>
    </w:p>
    <w:p>
      <w:pPr>
        <w:spacing w:after="160" w:before="0" w:line="276"/>
      </w:pPr>
      <w:r>
        <w:rPr>
          <w:rFonts w:ascii="Arial" w:cs="Arial" w:eastAsia="Arial" w:hAnsi="Arial"/>
          <w:sz w:val="22"/>
          <w:szCs w:val="22"/>
        </w:rPr>
        <w:t xml:space="preserve">A 2023 study by </w:t>
      </w:r>
      <w:r>
        <w:rPr>
          <w:rFonts w:ascii="Arial" w:cs="Arial" w:eastAsia="Arial" w:hAnsi="Arial"/>
          <w:b/>
          <w:bCs/>
          <w:sz w:val="22"/>
          <w:szCs w:val="22"/>
        </w:rPr>
        <w:t xml:space="preserve">Lawrence Berkeley National Laboratory</w:t>
      </w:r>
      <w:r>
        <w:rPr>
          <w:rFonts w:ascii="Arial" w:cs="Arial" w:eastAsia="Arial" w:hAnsi="Arial"/>
          <w:sz w:val="22"/>
          <w:szCs w:val="22"/>
        </w:rPr>
        <w:t xml:space="preserve">, analyzing 1.8 million home transactions near solar installations across six states, found state-specific property value declines of </w:t>
      </w:r>
      <w:r>
        <w:rPr>
          <w:rFonts w:ascii="Arial" w:cs="Arial" w:eastAsia="Arial" w:hAnsi="Arial"/>
          <w:b/>
          <w:bCs/>
          <w:sz w:val="22"/>
          <w:szCs w:val="22"/>
        </w:rPr>
        <w:t xml:space="preserve">4% (Minnesota), 5.8% (North Carolina), and 5.6% (New Jersey)</w:t>
      </w:r>
      <w:r>
        <w:rPr>
          <w:rFonts w:ascii="Arial" w:cs="Arial" w:eastAsia="Arial" w:hAnsi="Arial"/>
          <w:sz w:val="22"/>
          <w:szCs w:val="22"/>
        </w:rPr>
        <w:t xml:space="preserve">. Homes within 0.5 miles experienced an average 1.5% price reduction.</w:t>
      </w:r>
    </w:p>
    <w:p>
      <w:pPr>
        <w:spacing w:after="160" w:before="0" w:line="276"/>
      </w:pPr>
      <w:r>
        <w:rPr>
          <w:rFonts w:ascii="Arial" w:cs="Arial" w:eastAsia="Arial" w:hAnsi="Arial"/>
          <w:sz w:val="22"/>
          <w:szCs w:val="22"/>
          <w:vertAlign w:val="superscript"/>
        </w:rPr>
        <w:t xml:space="preserve">7</w:t>
      </w:r>
    </w:p>
    <w:p>
      <w:pPr>
        <w:spacing w:after="160" w:before="0" w:line="276"/>
      </w:pPr>
      <w:r>
        <w:rPr>
          <w:rFonts w:ascii="Arial" w:cs="Arial" w:eastAsia="Arial" w:hAnsi="Arial"/>
          <w:sz w:val="22"/>
          <w:szCs w:val="22"/>
        </w:rPr>
        <w:t xml:space="preserve">The Commission’s characterization of property value impact as “difficult to quantify” is directly contradicted by the nation’s most rigorous quantitative studies. Property value diminishment is measurable, documented, statistically significant, and—as the PNAS authors explicitly state—</w:t>
      </w:r>
      <w:r>
        <w:rPr>
          <w:rFonts w:ascii="Arial" w:cs="Arial" w:eastAsia="Arial" w:hAnsi="Arial"/>
          <w:i/>
          <w:iCs/>
          <w:sz w:val="22"/>
          <w:szCs w:val="22"/>
        </w:rPr>
        <w:t xml:space="preserve">not adequately addressed by current policy.</w:t>
      </w:r>
      <w:r>
        <w:rPr>
          <w:rFonts w:ascii="Arial" w:cs="Arial" w:eastAsia="Arial" w:hAnsi="Arial"/>
          <w:sz w:val="22"/>
          <w:szCs w:val="22"/>
        </w:rPr>
        <w:t xml:space="preserve"> Removing property value protections from the CUP process does not make the harm disappear. It makes the harm uncompensated.</w:t>
      </w:r>
    </w:p>
    <w:p>
      <w:pPr>
        <w:pStyle w:val="Heading1"/>
        <w:spacing w:after="160" w:before="360"/>
      </w:pPr>
      <w:r>
        <w:rPr>
          <w:rFonts w:ascii="Arial" w:cs="Arial" w:eastAsia="Arial" w:hAnsi="Arial"/>
          <w:b/>
          <w:bCs/>
          <w:sz w:val="28"/>
          <w:szCs w:val="28"/>
        </w:rPr>
        <w:t xml:space="preserve">VI. CONCLUSION AND REQUEST</w:t>
      </w:r>
    </w:p>
    <w:p>
      <w:pPr>
        <w:spacing w:after="160" w:before="0" w:line="276"/>
      </w:pPr>
      <w:r>
        <w:rPr>
          <w:rFonts w:ascii="Arial" w:cs="Arial" w:eastAsia="Arial" w:hAnsi="Arial"/>
          <w:sz w:val="22"/>
          <w:szCs w:val="22"/>
        </w:rPr>
        <w:t xml:space="preserve">The Planning and Zoning Commission’s findings rest on four factual premises, each of which is contradicted by the evidentiary record, by the documented preferences of the community the Commission serves, and by the expressed policy direction of the Idaho Legislature itself.</w:t>
      </w:r>
    </w:p>
    <w:p>
      <w:pPr>
        <w:spacing w:after="160" w:before="0" w:line="276"/>
      </w:pPr>
      <w:r>
        <w:rPr>
          <w:rFonts w:ascii="Arial" w:cs="Arial" w:eastAsia="Arial" w:hAnsi="Arial"/>
          <w:sz w:val="22"/>
          <w:szCs w:val="22"/>
        </w:rPr>
        <w:t xml:space="preserve">On March 16, 2026, the Idaho House of Representatives adopted </w:t>
      </w:r>
      <w:r>
        <w:rPr>
          <w:rFonts w:ascii="Arial" w:cs="Arial" w:eastAsia="Arial" w:hAnsi="Arial"/>
          <w:b/>
          <w:bCs/>
          <w:sz w:val="22"/>
          <w:szCs w:val="22"/>
        </w:rPr>
        <w:t xml:space="preserve">House Concurrent Resolution 32 (HCR032)</w:t>
      </w:r>
      <w:r>
        <w:rPr>
          <w:rFonts w:ascii="Arial" w:cs="Arial" w:eastAsia="Arial" w:hAnsi="Arial"/>
          <w:sz w:val="22"/>
          <w:szCs w:val="22"/>
        </w:rPr>
        <w:t xml:space="preserve">—a concurrent resolution on State Energy Sovereignty that directly addresses several issues at the core of this Board’s decision. HCR032 declares that transmission infrastructure that does not benefit Idaho utility customers and “</w:t>
      </w:r>
      <w:r>
        <w:rPr>
          <w:rFonts w:ascii="Arial" w:cs="Arial" w:eastAsia="Arial" w:hAnsi="Arial"/>
          <w:i/>
          <w:iCs/>
          <w:sz w:val="22"/>
          <w:szCs w:val="22"/>
        </w:rPr>
        <w:t xml:space="preserve">materially harms agriculture, critical water resources, or rural communities</w:t>
      </w:r>
      <w:r>
        <w:rPr>
          <w:rFonts w:ascii="Arial" w:cs="Arial" w:eastAsia="Arial" w:hAnsi="Arial"/>
          <w:sz w:val="22"/>
          <w:szCs w:val="22"/>
        </w:rPr>
        <w:t xml:space="preserve">” is “</w:t>
      </w:r>
      <w:r>
        <w:rPr>
          <w:rFonts w:ascii="Arial" w:cs="Arial" w:eastAsia="Arial" w:hAnsi="Arial"/>
          <w:i/>
          <w:iCs/>
          <w:sz w:val="22"/>
          <w:szCs w:val="22"/>
        </w:rPr>
        <w:t xml:space="preserve">inconsistent with the expressed policy position of the State of Idaho</w:t>
      </w:r>
      <w:r>
        <w:rPr>
          <w:rFonts w:ascii="Arial" w:cs="Arial" w:eastAsia="Arial" w:hAnsi="Arial"/>
          <w:sz w:val="22"/>
          <w:szCs w:val="22"/>
        </w:rPr>
        <w:t xml:space="preserve">.” The resolution affirms that “</w:t>
      </w:r>
      <w:r>
        <w:rPr>
          <w:rFonts w:ascii="Arial" w:cs="Arial" w:eastAsia="Arial" w:hAnsi="Arial"/>
          <w:b/>
          <w:bCs/>
          <w:sz w:val="22"/>
          <w:szCs w:val="22"/>
        </w:rPr>
        <w:t xml:space="preserve">private property rights, local land use authority, and the protection of agricultural and rural communities are paramount considerations</w:t>
      </w:r>
      <w:r>
        <w:rPr>
          <w:rFonts w:ascii="Arial" w:cs="Arial" w:eastAsia="Arial" w:hAnsi="Arial"/>
          <w:sz w:val="22"/>
          <w:szCs w:val="22"/>
        </w:rPr>
        <w:t xml:space="preserve">” in the siting of any major energy infrastructure. It recognizes the Eastern Snake Plain Aquifer as “a critical ground water resource supporting Idaho agriculture, rural communities, and economic stability” whose protection is “a matter of statewide importance.” And it requires that all major energy projects demonstrate a “clear, measurable, and durable net benefit to Idaho ratepayers” before approval.</w:t>
      </w:r>
    </w:p>
    <w:p>
      <w:pPr>
        <w:spacing w:after="160" w:before="0" w:line="276"/>
      </w:pPr>
      <w:r>
        <w:rPr>
          <w:rFonts w:ascii="Arial" w:cs="Arial" w:eastAsia="Arial" w:hAnsi="Arial"/>
          <w:sz w:val="22"/>
          <w:szCs w:val="22"/>
        </w:rPr>
        <w:t xml:space="preserve">HCR032 is not a proposal—it is adopted legislative policy. It confirms that the standards proposed in this ordinance package are not “heavy-handed” or “overly restrictive.” They are consistent with the Idaho Legislature’s own declared findings on agricultural protection, water resource protection, property rights, local land use authority, and ratepayer protection.</w:t>
      </w:r>
    </w:p>
    <w:p>
      <w:pPr>
        <w:spacing w:after="160" w:before="0" w:line="276"/>
      </w:pPr>
      <w:r>
        <w:rPr>
          <w:rFonts w:ascii="Arial" w:cs="Arial" w:eastAsia="Arial" w:hAnsi="Arial"/>
          <w:sz w:val="22"/>
          <w:szCs w:val="22"/>
        </w:rPr>
        <w:t xml:space="preserve">The JTown Beacon Community Survey (March 2026, 65 respondents) provides additional evidence that Jerome County residents overwhelmingly support the stronger standards proposed in this package—not the weakened approach the Commission recommends.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c>
          <w:tcPr>
            <w:tcW w:type="dxa" w:w="400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Commission Finding</w:t>
            </w:r>
          </w:p>
        </w:tc>
        <w:tc>
          <w:tcPr>
            <w:tcW w:type="dxa" w:w="5360"/>
            <w:tcBorders>
              <w:top w:val="single" w:color="999999" w:sz="1"/>
              <w:left w:val="single" w:color="999999" w:sz="1"/>
              <w:bottom w:val="single" w:color="999999" w:sz="1"/>
              <w:right w:val="single" w:color="999999" w:sz="1"/>
            </w:tcBorders>
            <w:shd w:fill="1F3864" w:val="clear"/>
            <w:tcMar>
              <w:top w:type="dxa" w:w="60"/>
              <w:left w:type="dxa" w:w="100"/>
              <w:bottom w:type="dxa" w:w="60"/>
              <w:right w:type="dxa" w:w="100"/>
            </w:tcMar>
          </w:tcPr>
          <w:p>
            <w:pPr>
              <w:spacing w:after="40"/>
            </w:pPr>
            <w:r>
              <w:rPr>
                <w:rFonts w:ascii="Arial" w:cs="Arial" w:eastAsia="Arial" w:hAnsi="Arial"/>
                <w:b/>
                <w:bCs/>
                <w:color w:val="FFFFFF"/>
                <w:sz w:val="20"/>
                <w:szCs w:val="20"/>
              </w:rPr>
              <w:t xml:space="preserve">Evidentiary Record</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1. Language is “heavy-handed”</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Standards proposed are consistent with Cecil County MD, Montgomery County MD, Bannock County ID, and SB 1133. National best practice, not an outlier.</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2. “No surplus land” is misleading</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$639M agricultural economy, 157,000 irrigated acres, #16 dairy county nationally. No material surplus documented.</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4. “Deemed incompatible” is too categorical</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USDA NRCS (2024), NC State, Welsh Government (2023), PNAS (2025) all document incompatibility between energy construction and agricultural soil health.</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5. Non-ag siting is not viable; basalt conversion is “irreversible” but farmland conversion is “reversible”</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The Commission’s own logic supports the opposite conclusion: if public land conversion is irreversible, farmland conversion is at least equally so. Both deserve protection. EPA has screened 190,000 acres of already-disturbed land; 624+ brightfield projects active; IRA provides 10% bonus. Developers must find sites that do not destroy either resource.</w:t>
            </w:r>
          </w:p>
        </w:tc>
      </w:tr>
      <w:tr>
        <w:tc>
          <w:tcPr>
            <w:tcW w:type="dxa" w:w="400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bCs/>
                <w:sz w:val="20"/>
                <w:szCs w:val="20"/>
              </w:rPr>
              <w:t xml:space="preserve">Community Survey (JTown Beacon, March 2026)</w:t>
            </w:r>
          </w:p>
        </w:tc>
        <w:tc>
          <w:tcPr>
            <w:tcW w:type="dxa" w:w="5360"/>
            <w:tcBorders>
              <w:top w:val="single" w:color="999999" w:sz="1"/>
              <w:left w:val="single" w:color="999999" w:sz="1"/>
              <w:bottom w:val="single" w:color="999999" w:sz="1"/>
              <w:right w:val="single" w:color="999999" w:sz="1"/>
            </w:tcBorders>
            <w:tcMar>
              <w:top w:type="dxa" w:w="60"/>
              <w:left w:type="dxa" w:w="100"/>
              <w:bottom w:type="dxa" w:w="60"/>
              <w:right w:type="dxa" w:w="100"/>
            </w:tcMar>
          </w:tcPr>
          <w:p>
            <w:pPr>
              <w:spacing w:after="40"/>
            </w:pPr>
            <w:r>
              <w:rPr>
                <w:rFonts w:ascii="Arial" w:cs="Arial" w:eastAsia="Arial" w:hAnsi="Arial"/>
                <w:b w:val="false"/>
                <w:bCs w:val="false"/>
                <w:sz w:val="20"/>
                <w:szCs w:val="20"/>
              </w:rPr>
              <w:t xml:space="preserve">93.8% prioritize ag preservation; 93.7% oppose large-scale energy in ag zones; 80% say guidelines not strict enough; 90.8% support county-wide notification; 87.7% favor limiting energy development to protect farmland; 80% say current approach needs significant revision.</w:t>
            </w:r>
          </w:p>
        </w:tc>
      </w:tr>
    </w:tbl>
    <w:p>
      <w:pPr>
        <w:spacing w:after="200" w:before="0" w:line="276"/>
      </w:pPr>
      <w:r>
        <w:rPr>
          <w:rFonts w:ascii="Arial" w:cs="Arial" w:eastAsia="Arial" w:hAnsi="Arial"/>
          <w:b w:val="false"/>
          <w:bCs w:val="false"/>
          <w:i w:val="false"/>
          <w:iCs w:val="false"/>
          <w:sz w:val="22"/>
          <w:szCs w:val="22"/>
        </w:rPr>
        <w:t xml:space="preserve"/>
      </w:r>
    </w:p>
    <w:p>
      <w:pPr>
        <w:spacing w:after="160" w:before="0" w:line="276"/>
      </w:pPr>
      <w:r>
        <w:rPr>
          <w:rFonts w:ascii="Arial" w:cs="Arial" w:eastAsia="Arial" w:hAnsi="Arial"/>
          <w:b/>
          <w:bCs/>
          <w:sz w:val="22"/>
          <w:szCs w:val="22"/>
        </w:rPr>
        <w:t xml:space="preserve">I respectfully request that the Board:</w:t>
      </w:r>
    </w:p>
    <w:p>
      <w:pPr>
        <w:spacing w:after="160" w:before="0" w:line="276"/>
        <w:ind w:left="360"/>
      </w:pPr>
      <w:r>
        <w:rPr>
          <w:rFonts w:ascii="Arial" w:cs="Arial" w:eastAsia="Arial" w:hAnsi="Arial"/>
          <w:b/>
          <w:bCs/>
          <w:sz w:val="22"/>
          <w:szCs w:val="22"/>
        </w:rPr>
        <w:t xml:space="preserve">1. </w:t>
      </w:r>
      <w:r>
        <w:rPr>
          <w:rFonts w:ascii="Arial" w:cs="Arial" w:eastAsia="Arial" w:hAnsi="Arial"/>
          <w:sz w:val="22"/>
          <w:szCs w:val="22"/>
        </w:rPr>
        <w:t xml:space="preserve">Decline to adopt the Commission’s recommendations to deny Chapters 10 and 11 without modification;</w:t>
      </w:r>
    </w:p>
    <w:p>
      <w:pPr>
        <w:spacing w:after="160" w:before="0" w:line="276"/>
        <w:ind w:left="360"/>
      </w:pPr>
      <w:r>
        <w:rPr>
          <w:rFonts w:ascii="Arial" w:cs="Arial" w:eastAsia="Arial" w:hAnsi="Arial"/>
          <w:b/>
          <w:bCs/>
          <w:sz w:val="22"/>
          <w:szCs w:val="22"/>
        </w:rPr>
        <w:t xml:space="preserve">2. </w:t>
      </w:r>
      <w:r>
        <w:rPr>
          <w:rFonts w:ascii="Arial" w:cs="Arial" w:eastAsia="Arial" w:hAnsi="Arial"/>
          <w:sz w:val="22"/>
          <w:szCs w:val="22"/>
        </w:rPr>
        <w:t xml:space="preserve">Direct the completion of Chapter 10 and Chapter 11 with the categorical agricultural soil protections, objective impact standards, anti-circumvention provisions, enforcement mechanisms, and public participation rights documented in the citizen revised ordinance and supporting materials;</w:t>
      </w:r>
    </w:p>
    <w:p>
      <w:pPr>
        <w:spacing w:after="160" w:before="0" w:line="276"/>
        <w:ind w:left="360"/>
      </w:pPr>
      <w:r>
        <w:rPr>
          <w:rFonts w:ascii="Arial" w:cs="Arial" w:eastAsia="Arial" w:hAnsi="Arial"/>
          <w:b/>
          <w:bCs/>
          <w:sz w:val="22"/>
          <w:szCs w:val="22"/>
        </w:rPr>
        <w:t xml:space="preserve">3. </w:t>
      </w:r>
      <w:r>
        <w:rPr>
          <w:rFonts w:ascii="Arial" w:cs="Arial" w:eastAsia="Arial" w:hAnsi="Arial"/>
          <w:sz w:val="22"/>
          <w:szCs w:val="22"/>
        </w:rPr>
        <w:t xml:space="preserve">Enter this response and all cited sources into the official record for all hearings on the proposed amendments; and</w:t>
      </w:r>
    </w:p>
    <w:p>
      <w:pPr>
        <w:spacing w:after="160" w:before="0" w:line="276"/>
        <w:ind w:left="360"/>
      </w:pPr>
      <w:r>
        <w:rPr>
          <w:rFonts w:ascii="Arial" w:cs="Arial" w:eastAsia="Arial" w:hAnsi="Arial"/>
          <w:b/>
          <w:bCs/>
          <w:sz w:val="22"/>
          <w:szCs w:val="22"/>
        </w:rPr>
        <w:t xml:space="preserve">4. </w:t>
      </w:r>
      <w:r>
        <w:rPr>
          <w:rFonts w:ascii="Arial" w:cs="Arial" w:eastAsia="Arial" w:hAnsi="Arial"/>
          <w:sz w:val="22"/>
          <w:szCs w:val="22"/>
        </w:rPr>
        <w:t xml:space="preserve">Apply the CSPM framework to Jerome County’s specific conditions, with full documentation, as a structured basis for the Board’s siting posture determination.</w:t>
      </w:r>
    </w:p>
    <w:p>
      <w:pPr>
        <w:spacing w:after="160" w:before="200" w:line="276"/>
      </w:pPr>
      <w:r>
        <w:rPr>
          <w:rFonts w:ascii="Arial" w:cs="Arial" w:eastAsia="Arial" w:hAnsi="Arial"/>
          <w:b w:val="false"/>
          <w:bCs w:val="false"/>
          <w:i w:val="false"/>
          <w:iCs w:val="false"/>
          <w:sz w:val="22"/>
          <w:szCs w:val="22"/>
        </w:rPr>
        <w:t xml:space="preserve">I request that this letter be entered into the official record for all hearings on the proposed Chapter 10 and Chapter 11 amendments.</w:t>
      </w:r>
    </w:p>
    <w:p>
      <w:pPr>
        <w:spacing w:after="360" w:before="360" w:line="276"/>
      </w:pPr>
      <w:r>
        <w:rPr>
          <w:rFonts w:ascii="Arial" w:cs="Arial" w:eastAsia="Arial" w:hAnsi="Arial"/>
          <w:b w:val="false"/>
          <w:bCs w:val="false"/>
          <w:i w:val="false"/>
          <w:iCs w:val="false"/>
          <w:sz w:val="22"/>
          <w:szCs w:val="22"/>
        </w:rPr>
        <w:t xml:space="preserve">Respectfully submitted,</w:t>
      </w:r>
    </w:p>
    <w:p>
      <w:pPr>
        <w:spacing w:after="40" w:before="0" w:line="276"/>
      </w:pPr>
      <w:r>
        <w:rPr>
          <w:rFonts w:ascii="Arial" w:cs="Arial" w:eastAsia="Arial" w:hAnsi="Arial"/>
          <w:b/>
          <w:bCs/>
          <w:i w:val="false"/>
          <w:iCs w:val="false"/>
          <w:sz w:val="22"/>
          <w:szCs w:val="22"/>
        </w:rPr>
        <w:t xml:space="preserve">Jeff Pierson</w:t>
      </w:r>
    </w:p>
    <w:p>
      <w:pPr>
        <w:spacing w:after="40" w:before="0" w:line="276"/>
      </w:pPr>
      <w:r>
        <w:rPr>
          <w:rFonts w:ascii="Arial" w:cs="Arial" w:eastAsia="Arial" w:hAnsi="Arial"/>
          <w:b w:val="false"/>
          <w:bCs w:val="false"/>
          <w:i w:val="false"/>
          <w:iCs w:val="false"/>
          <w:sz w:val="22"/>
          <w:szCs w:val="22"/>
        </w:rPr>
        <w:t xml:space="preserve">Jerome County, Idaho</w:t>
      </w:r>
    </w:p>
    <w:p>
      <w:pPr>
        <w:spacing w:after="200" w:before="0" w:line="276"/>
      </w:pPr>
      <w:r>
        <w:rPr>
          <w:rFonts w:ascii="Arial" w:cs="Arial" w:eastAsia="Arial" w:hAnsi="Arial"/>
          <w:b w:val="false"/>
          <w:bCs w:val="false"/>
          <w:i w:val="false"/>
          <w:iCs w:val="false"/>
          <w:sz w:val="22"/>
          <w:szCs w:val="22"/>
        </w:rPr>
        <w:t xml:space="preserve">Date: March _____, 2026</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Response to P&amp;Z Commission Recommendations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response to P&amp;Z Findings 1, 2, 4, and 5 with cited rebuttals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Final revision with 20+ footnoted citations, CSPM framework references, HCR032 integration</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p>
  <w:p>
    <w:pPr>
      <w:pBdr>
        <w:top w:val="single" w:color="2E75B6" w:sz="4" w:space="4"/>
      </w:pBdr>
      <w:tabs>
        <w:tab w:val="right" w:pos="9026"/>
      </w:tabs>
    </w:pPr>
    <w:r>
      <w:rPr>
        <w:rFonts w:ascii="Arial" w:cs="Arial" w:eastAsia="Arial" w:hAnsi="Arial"/>
        <w:color w:val="666666"/>
        <w:sz w:val="16"/>
        <w:szCs w:val="16"/>
      </w:rPr>
      <w:t xml:space="preserve">Pierson — Jerome County</w:t>
    </w:r>
    <w:r>
      <w:rPr>
        <w:rFonts w:ascii="Arial" w:cs="Arial" w:eastAsia="Arial" w:hAnsi="Arial"/>
        <w:color w:val="666666"/>
        <w:sz w:val="16"/>
        <w:szCs w:val="16"/>
      </w:rPr>
      <w:t xml:space="preserve">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r>
        <w:rPr>
          <w:rStyle w:val="FootnoteReference"/>
        </w:rPr>
        <w:footnoteRef/>
      </w:r>
      <w:r>
        <w:rPr>
          <w:rFonts w:ascii="Arial" w:cs="Arial" w:eastAsia="Arial" w:hAnsi="Arial"/>
          <w:sz w:val="16"/>
          <w:szCs w:val="16"/>
        </w:rPr>
        <w:t xml:space="preserve">American Farmland Trust, Farms Under Threat 2040: Choosing an Abundant Future (2022). Modeling finds 83% of projected solar development will occur on agricultural land, of which 49% is “nationally significant” farmland.</w:t>
      </w:r>
    </w:p>
  </w:footnote>
  <w:footnote w:id="2">
    <w:p>
      <w:r>
        <w:rPr>
          <w:rStyle w:val="FootnoteReference"/>
        </w:rPr>
        <w:footnoteRef/>
      </w:r>
      <w:r>
        <w:rPr>
          <w:rFonts w:ascii="Arial" w:cs="Arial" w:eastAsia="Arial" w:hAnsi="Arial"/>
          <w:sz w:val="16"/>
          <w:szCs w:val="16"/>
        </w:rPr>
        <w:t xml:space="preserve">American Farmland Trust, Farms Under Threat: The State of the States (2020). Between 2001–2016, the U.S. lost 11 million acres of agricultural land; 4.4 million acres were “nationally significant.” At current trends, 18.4 million more acres will be lost by 2040.</w:t>
      </w:r>
    </w:p>
  </w:footnote>
  <w:footnote w:id="3">
    <w:p>
      <w:r>
        <w:rPr>
          <w:rStyle w:val="FootnoteReference"/>
        </w:rPr>
        <w:footnoteRef/>
      </w:r>
      <w:r>
        <w:rPr>
          <w:rFonts w:ascii="Arial" w:cs="Arial" w:eastAsia="Arial" w:hAnsi="Arial"/>
          <w:sz w:val="16"/>
          <w:szCs w:val="16"/>
        </w:rPr>
        <w:t xml:space="preserve">USDA NRCS, Conservation Guidance for Utility-Scale Solar Projects (December 2024). Official NRCS guidance identifying soil compaction, erosion, loss of organic matter, and drainage alteration as conservation concerns associated with utility-scale solar construction.</w:t>
      </w:r>
    </w:p>
  </w:footnote>
  <w:footnote w:id="4">
    <w:p>
      <w:r>
        <w:rPr>
          <w:rStyle w:val="FootnoteReference"/>
        </w:rPr>
        <w:footnoteRef/>
      </w:r>
      <w:r>
        <w:rPr>
          <w:rFonts w:ascii="Arial" w:cs="Arial" w:eastAsia="Arial" w:hAnsi="Arial"/>
          <w:sz w:val="16"/>
          <w:szCs w:val="16"/>
        </w:rPr>
        <w:t xml:space="preserve">NC State University Cooperative Extension, “Can Solar Energy Production Be Converted to Farmland?” (October 2021). “One should anticipate 20–40% reduced crop yield for 3–5 years as soil compaction issues are slowly resolved.” Decommissioning cost estimated at $30,000 per MW.</w:t>
      </w:r>
    </w:p>
  </w:footnote>
  <w:footnote w:id="5">
    <w:p>
      <w:r>
        <w:rPr>
          <w:rStyle w:val="FootnoteReference"/>
        </w:rPr>
        <w:footnoteRef/>
      </w:r>
      <w:r>
        <w:rPr>
          <w:rFonts w:ascii="Arial" w:cs="Arial" w:eastAsia="Arial" w:hAnsi="Arial"/>
          <w:sz w:val="16"/>
          <w:szCs w:val="16"/>
        </w:rPr>
        <w:t xml:space="preserve">Welsh Government Soil Policy Evidence Programme, “The Impact of Solar Photovoltaic Sites on Agricultural Soils and Land Quality,” Work Package 3 (August 2023). Found deep soil compaction causing “loss of versatility of Best and Most Versatile agricultural land.” Recovery timescales ranged from 18–30 years to permanent.</w:t>
      </w:r>
    </w:p>
  </w:footnote>
  <w:footnote w:id="6">
    <w:p>
      <w:r>
        <w:rPr>
          <w:rStyle w:val="FootnoteReference"/>
        </w:rPr>
        <w:footnoteRef/>
      </w:r>
      <w:r>
        <w:rPr>
          <w:rFonts w:ascii="Arial" w:cs="Arial" w:eastAsia="Arial" w:hAnsi="Arial"/>
          <w:sz w:val="16"/>
          <w:szCs w:val="16"/>
        </w:rPr>
        <w:t xml:space="preserve">Hoen et al., “Impact of Large-Scale Solar on Property Values in the United States: Diverse Effects and Causal Mechanisms,” Proceedings of the National Academy of Sciences (PNAS), 2025. Nationwide dataset: residential property values within 3 miles declined ~4.8%. State-specific declines: MN 4%, NC 5.8%, NJ 5.6%.</w:t>
      </w:r>
    </w:p>
  </w:footnote>
  <w:footnote w:id="7">
    <w:p>
      <w:r>
        <w:rPr>
          <w:rStyle w:val="FootnoteReference"/>
        </w:rPr>
        <w:footnoteRef/>
      </w:r>
      <w:r>
        <w:rPr>
          <w:rFonts w:ascii="Arial" w:cs="Arial" w:eastAsia="Arial" w:hAnsi="Arial"/>
          <w:sz w:val="16"/>
          <w:szCs w:val="16"/>
        </w:rPr>
        <w:t xml:space="preserve">Hoen et al., “Shedding Light on Large-Scale Solar Impacts: An Analysis of Property Values and Proximity to Photovoltaics Across Six U.S. States,” Energy Policy (2023), Lawrence Berkeley National Laboratory. 1.8 million transactions analyzed; homes within 0.5 mi averaged 1.5% reduction.</w:t>
      </w:r>
    </w:p>
  </w:footnote>
  <w:footnote w:id="8">
    <w:p>
      <w:r>
        <w:rPr>
          <w:rStyle w:val="FootnoteReference"/>
        </w:rPr>
        <w:footnoteRef/>
      </w:r>
      <w:r>
        <w:rPr>
          <w:rFonts w:ascii="Arial" w:cs="Arial" w:eastAsia="Arial" w:hAnsi="Arial"/>
          <w:sz w:val="16"/>
          <w:szCs w:val="16"/>
        </w:rPr>
        <w:t xml:space="preserve">USDA NASS, 2017 Census of Agriculture, Jerome County Profile (cp16053). Total market value of agricultural products sold: $639,583,000 (4th in Idaho, 59th nationally). Crop sales: $121,144,000.</w:t>
      </w:r>
    </w:p>
  </w:footnote>
  <w:footnote w:id="9">
    <w:p>
      <w:r>
        <w:rPr>
          <w:rStyle w:val="FootnoteReference"/>
        </w:rPr>
        <w:footnoteRef/>
      </w:r>
      <w:r>
        <w:rPr>
          <w:rFonts w:ascii="Arial" w:cs="Arial" w:eastAsia="Arial" w:hAnsi="Arial"/>
          <w:sz w:val="16"/>
          <w:szCs w:val="16"/>
        </w:rPr>
        <w:t xml:space="preserve">USDA NASS / University of Idaho Extension. Jerome County contains approximately 157,000 acres of cropland, nearly all irrigated. Major crops: alfalfa hay and silage corn (~45% of cultivated acres), supporting the region’s dairy industry.</w:t>
      </w:r>
    </w:p>
  </w:footnote>
  <w:footnote w:id="10">
    <w:p>
      <w:r>
        <w:rPr>
          <w:rStyle w:val="FootnoteReference"/>
        </w:rPr>
        <w:footnoteRef/>
      </w:r>
      <w:r>
        <w:rPr>
          <w:rFonts w:ascii="Arial" w:cs="Arial" w:eastAsia="Arial" w:hAnsi="Arial"/>
          <w:sz w:val="16"/>
          <w:szCs w:val="16"/>
        </w:rPr>
        <w:t xml:space="preserve">Jerome County 20/20 Economic Development; USDA NASS. Jerome County produces $274.3 million in cow milk annually, ranking #3 in Idaho and #16 nationally. Jerome County accounts for 11.8% of all Idaho milk sales.</w:t>
      </w:r>
    </w:p>
  </w:footnote>
  <w:footnote w:id="11">
    <w:p>
      <w:r>
        <w:rPr>
          <w:rStyle w:val="FootnoteReference"/>
        </w:rPr>
        <w:footnoteRef/>
      </w:r>
      <w:r>
        <w:rPr>
          <w:rFonts w:ascii="Arial" w:cs="Arial" w:eastAsia="Arial" w:hAnsi="Arial"/>
          <w:sz w:val="16"/>
          <w:szCs w:val="16"/>
        </w:rPr>
        <w:t xml:space="preserve">U.S. EPA, RE-Powering America’s Land Initiative. EPA has pre-screened 190,000 acres of brownfields for renewable energy development. The U.S. has 624+ active “brightfield” projects (clean energy on brownfields/closed landfills). IRA provides 10% tax credit bonus for energy community siting.</w:t>
      </w:r>
    </w:p>
  </w:footnote>
  <w:footnote w:id="12">
    <w:p>
      <w:r>
        <w:rPr>
          <w:rStyle w:val="FootnoteReference"/>
        </w:rPr>
        <w:footnoteRef/>
      </w:r>
      <w:r>
        <w:rPr>
          <w:rFonts w:ascii="Arial" w:cs="Arial" w:eastAsia="Arial" w:hAnsi="Arial"/>
          <w:sz w:val="16"/>
          <w:szCs w:val="16"/>
        </w:rPr>
        <w:t xml:space="preserve">Idaho SB 1133 (2025), signed by Gov. Little April 1, 2025. Amends the Agricultural Protection Area Act to prohibit “residential, commercial, manufacturing, industrial, solar or wind energy structures, or any other non-agricultural land use” on APA-designated lands unless contributing to agricultural production.</w:t>
      </w:r>
    </w:p>
  </w:footnote>
  <w:footnote w:id="13">
    <w:p>
      <w:r>
        <w:rPr>
          <w:rStyle w:val="FootnoteReference"/>
        </w:rPr>
        <w:footnoteRef/>
      </w:r>
      <w:r>
        <w:rPr>
          <w:rFonts w:ascii="Arial" w:cs="Arial" w:eastAsia="Arial" w:hAnsi="Arial"/>
          <w:sz w:val="16"/>
          <w:szCs w:val="16"/>
        </w:rPr>
        <w:t xml:space="preserve">Bannock County, Idaho, Ordinance banning large-scale solar and wind projects (enacted March 2024, following October 2023 moratorium). Passed by Board of County Commissioners vote. Idaho State Journal, March 26, 2024.</w:t>
      </w:r>
    </w:p>
  </w:footnote>
  <w:footnote w:id="14">
    <w:p>
      <w:r>
        <w:rPr>
          <w:rStyle w:val="FootnoteReference"/>
        </w:rPr>
        <w:footnoteRef/>
      </w:r>
      <w:r>
        <w:rPr>
          <w:rFonts w:ascii="Arial" w:cs="Arial" w:eastAsia="Arial" w:hAnsi="Arial"/>
          <w:sz w:val="16"/>
          <w:szCs w:val="16"/>
        </w:rPr>
        <w:t xml:space="preserve">Farmland Protection Policy Act (FPPA), 7 U.S.C. §4201–4209. “Minimize the impact Federal programs have on the unnecessary and irreversible conversion of farmland to nonagricultural uses.” The Act uses the term “irreversible”—reflecting Congressional determination that farmland conversion is permanent.</w:t>
      </w:r>
    </w:p>
  </w:footnote>
  <w:footnote w:id="15">
    <w:p>
      <w:r>
        <w:rPr>
          <w:rStyle w:val="FootnoteReference"/>
        </w:rPr>
        <w:footnoteRef/>
      </w:r>
      <w:r>
        <w:rPr>
          <w:rFonts w:ascii="Arial" w:cs="Arial" w:eastAsia="Arial" w:hAnsi="Arial"/>
          <w:sz w:val="16"/>
          <w:szCs w:val="16"/>
        </w:rPr>
        <w:t xml:space="preserve">Jeff Pierson, “The Total Ban Question: When Counties Consider Banning Grid-Scale Energy Projects Outright—and How to Decide,” County Siting Posture Metric (CSPM) Policy Analysis (March 2026). A 100-point structured scoring framework across six dimensions for evaluating county siting posture.</w:t>
      </w:r>
    </w:p>
  </w:footnote>
  <w:footnote w:id="16">
    <w:p>
      <w:r>
        <w:rPr>
          <w:rStyle w:val="FootnoteReference"/>
        </w:rPr>
        <w:footnoteRef/>
      </w:r>
      <w:r>
        <w:rPr>
          <w:rFonts w:ascii="Arial" w:cs="Arial" w:eastAsia="Arial" w:hAnsi="Arial"/>
          <w:sz w:val="16"/>
          <w:szCs w:val="16"/>
        </w:rPr>
        <w:t xml:space="preserve">Keller et al., “Global Assessment of Agricultural Productivity Losses from Soil Compaction and Water Erosion,” Environmental Science &amp; Technology (2022). Peer-reviewed global analysis quantifying productivity losses from soil compaction.</w:t>
      </w:r>
    </w:p>
  </w:footnote>
  <w:footnote w:id="17">
    <w:p>
      <w:r>
        <w:rPr>
          <w:rStyle w:val="FootnoteReference"/>
        </w:rPr>
        <w:footnoteRef/>
      </w:r>
      <w:r>
        <w:rPr>
          <w:rFonts w:ascii="Arial" w:cs="Arial" w:eastAsia="Arial" w:hAnsi="Arial"/>
          <w:sz w:val="16"/>
          <w:szCs w:val="16"/>
        </w:rPr>
        <w:t xml:space="preserve">NC State Cooperative Extension (2021): Heavy metal contamination remediation alone estimated at over $2,500 per acre as of 2017. Essential plant nutrients leach over time during solar production periods, requiring replacement before agricultural resumption.</w:t>
      </w:r>
    </w:p>
  </w:footnote>
  <w:footnote w:id="18">
    <w:p>
      <w:r>
        <w:rPr>
          <w:rStyle w:val="FootnoteReference"/>
        </w:rPr>
        <w:footnoteRef/>
      </w:r>
      <w:r>
        <w:rPr>
          <w:rFonts w:ascii="Arial" w:cs="Arial" w:eastAsia="Arial" w:hAnsi="Arial"/>
          <w:sz w:val="16"/>
          <w:szCs w:val="16"/>
        </w:rPr>
        <w:t xml:space="preserve">Ada County, Idaho (January 2025): Ada County Commissioners rejected a solar farm application, citing preservation of Idaho ‘way of life.’ Ada County also added new solar restrictions to its zoning code rewrite. KTVB/BoiseDev reporting.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E75B6" w:sz="4" w:space="4"/>
      </w:pBdr>
      <w:jc w:val="right"/>
    </w:pPr>
    <w:r>
      <w:rPr>
        <w:rFonts w:ascii="Arial" w:cs="Arial" w:eastAsia="Arial" w:hAnsi="Arial"/>
        <w:i/>
        <w:iCs/>
        <w:color w:val="666666"/>
        <w:sz w:val="16"/>
        <w:szCs w:val="16"/>
      </w:rPr>
      <w:t xml:space="preserve">RESPONSE TO P&amp;Z COMMISSION RECOMMENDATIONS — CHAPTERS 10 &amp;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1F3864"/>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2026-03-23T07:47:58.117Z</dcterms:created>
  <dcterms:modified xsi:type="dcterms:W3CDTF">2026-03-23T07:47:58.118Z</dcterms:modified>
</cp:coreProperties>
</file>

<file path=docProps/custom.xml><?xml version="1.0" encoding="utf-8"?>
<Properties xmlns="http://schemas.openxmlformats.org/officeDocument/2006/custom-properties" xmlns:vt="http://schemas.openxmlformats.org/officeDocument/2006/docPropsVTypes"/>
</file>