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F4E78" w:color="1F4E78" w:val="clear"/>
        <w:spacing w:after="120" w:before="120" w:line="240"/>
        <w:jc w:val="center"/>
      </w:pPr>
      <w:r>
        <w:t xml:space="preserve">JEROME COUNTY COMPREHENSIVE PLAN | 2018</w:t>
      </w:r>
    </w:p>
    <w:p>
      <w:pPr>
        <w:spacing w:after="0" w:before="240"/>
        <w:jc w:val="left"/>
      </w:pPr>
      <w:r>
        <w:t xml:space="preserve">Chapter 10</w:t>
      </w:r>
    </w:p>
    <w:p>
      <w:pPr>
        <w:spacing w:after="240" w:before="0"/>
        <w:jc w:val="left"/>
      </w:pPr>
      <w:r>
        <w:t xml:space="preserve">UTILITIES</w:t>
      </w:r>
    </w:p>
    <w:p>
      <w:pPr>
        <w:spacing w:after="240" w:before="0" w:line="360"/>
        <w:jc w:val="both"/>
      </w:pPr>
      <w:r>
        <w:t xml:space="preserve">Utilities consist of those services provided by public and private organizations for consumption by the public at large. The provision, location, and efficiency of utilities are strong determining factors for the quality of life and development for the entire County. Utilities include services such as municipal sewer and water systems whereas privately operated utilities might include canal systems, electric power, natural gas, or telecommunications. Individual wells and septic systems are typically owned and maintained by the landowner and are under the jurisdiction of the state.</w:t>
      </w:r>
    </w:p>
    <w:p>
      <w:pPr>
        <w:spacing w:after="120" w:before="240"/>
        <w:jc w:val="left"/>
      </w:pPr>
      <w:r>
        <w:t xml:space="preserve">WATER AND SEWER</w:t>
      </w:r>
    </w:p>
    <w:p>
      <w:pPr>
        <w:pStyle w:val="ListParagraph"/>
        <w:numPr>
          <w:ilvl w:val="0"/>
          <w:numId w:val="1"/>
        </w:numPr>
        <w:spacing w:after="120" w:before="0" w:line="360"/>
        <w:jc w:val="both"/>
      </w:pPr>
      <w:r>
        <w:t xml:space="preserve">The City of Jerome provides water and sewer services to its citizens as well as to some of the areas within the area of city impact by the Interstate 84 and U.S. Route 93 interchange. The city has also extended water services along Highway 25 east of the city as well as providing water service to portions of the impact area west of the city limits up to the frontage road.</w:t>
      </w:r>
    </w:p>
    <w:p>
      <w:pPr>
        <w:pStyle w:val="ListParagraph"/>
        <w:numPr>
          <w:ilvl w:val="0"/>
          <w:numId w:val="1"/>
        </w:numPr>
        <w:spacing w:after="120" w:before="0" w:line="360"/>
        <w:jc w:val="both"/>
      </w:pPr>
      <w:r>
        <w:t xml:space="preserve">The city of Hazelton provides sewer and water services to its citizens and also provides services outside the city limits to Valley School.</w:t>
      </w:r>
    </w:p>
    <w:p>
      <w:pPr>
        <w:pStyle w:val="ListParagraph"/>
        <w:numPr>
          <w:ilvl w:val="0"/>
          <w:numId w:val="1"/>
        </w:numPr>
        <w:spacing w:after="120" w:before="0" w:line="360"/>
        <w:jc w:val="both"/>
      </w:pPr>
      <w:r>
        <w:t xml:space="preserve">The city of Eden provides sewer and water to its citizens, there are no services provided outside the city limits.</w:t>
      </w:r>
    </w:p>
    <w:p>
      <w:pPr>
        <w:pStyle w:val="ListParagraph"/>
        <w:numPr>
          <w:ilvl w:val="0"/>
          <w:numId w:val="1"/>
        </w:numPr>
        <w:spacing w:after="240" w:before="0" w:line="360"/>
        <w:jc w:val="both"/>
      </w:pPr>
      <w:r>
        <w:t xml:space="preserve">The County does not provide any sewer or water services. Residents of the unincorporated County rely on private wells and septic systems.</w:t>
      </w:r>
    </w:p>
    <w:p>
      <w:pPr>
        <w:spacing w:after="120" w:before="120"/>
        <w:jc w:val="left"/>
      </w:pPr>
      <w:r>
        <w:t xml:space="preserve">Private Well Systems</w:t>
      </w:r>
    </w:p>
    <w:p>
      <w:pPr>
        <w:spacing w:after="240" w:before="0" w:line="360"/>
        <w:jc w:val="both"/>
      </w:pPr>
      <w:r>
        <w:t xml:space="preserve">Prior to drilling a well, the well owner or well driller must first obtain a drilling permit from Idaho Department of Water Resources (IDWR). Domestic wells do not require other approvals by IDWR before a drilling permit can be approved. Commercial/industrial wells, multi-family, or municipal wells require approved water rights before approvals are issued.</w:t>
      </w:r>
    </w:p>
    <w:p>
      <w:pPr>
        <w:spacing w:after="120" w:before="120"/>
        <w:jc w:val="left"/>
      </w:pPr>
      <w:r>
        <w:t xml:space="preserve">Private Septic Systems</w:t>
      </w:r>
    </w:p>
    <w:p>
      <w:pPr>
        <w:spacing w:after="240" w:before="0" w:line="360"/>
        <w:jc w:val="both"/>
      </w:pPr>
      <w:r>
        <w:t xml:space="preserve">The South Central Public Health District (SCPHD) is the permitting agency for septic systems. A minimum of one acre is typically required for an individual structure that will utilize a well and septic system. Permit applications are evaluated based on soil properties, depths to groundwater and bedrock, proximity to canals, and surface water.</w:t>
      </w:r>
    </w:p>
    <w:p>
      <w:pPr>
        <w:spacing w:after="120" w:before="120"/>
        <w:jc w:val="left"/>
      </w:pPr>
      <w:r>
        <w:t xml:space="preserve">Jerome Water and Sewer District</w:t>
      </w:r>
    </w:p>
    <w:p>
      <w:pPr>
        <w:spacing w:after="240" w:before="0" w:line="360"/>
        <w:jc w:val="both"/>
      </w:pPr>
      <w:r>
        <w:t xml:space="preserve">Jerome County has established a Sewer and Water District that has never been activated to provide sewer and water hookups within the County. Currently, the City of Jerome has sewer lines and water lines that reach outside of the city limits. These sewer and water lines from the City of Jerome are not part of the established Sewer and Water District. Jerome County should re-evaluate the Sewer and Water District to determine if a new district should be activated to include all existing sewer lines and water lines from the City of Jerome. The district was formed to ensure that future development in critical areas would be serviced through a municipal system rather than through individual wells and septic systems. The Sewer and Water District map is located in Appendix B: 10-1.</w:t>
      </w:r>
    </w:p>
    <w:p>
      <w:pPr>
        <w:spacing w:after="120" w:before="120"/>
        <w:jc w:val="left"/>
      </w:pPr>
      <w:r>
        <w:t xml:space="preserve">Jerome County Ground Water Districts</w:t>
      </w:r>
    </w:p>
    <w:p>
      <w:pPr>
        <w:spacing w:after="120" w:before="0" w:line="360"/>
        <w:jc w:val="both"/>
      </w:pPr>
      <w:r>
        <w:t xml:space="preserve">It is IDWR's duty to direct and control the distribution of water from all natural water sources within Idaho. Idaho Code § 42-602. Water districts, through watermasters and under the supervision of IDWR, are responsible for the distribution of water among appropriators. Idaho Code § 42-602. IDWR creates water districts pursuant to Idaho Code § 42-604, and once created, water districts are instrumentalities of the State for the purposes of distributing water among appropriators. As a result, water districts are considered an extension of IDWR.</w:t>
      </w:r>
    </w:p>
    <w:p>
      <w:pPr>
        <w:spacing w:after="120" w:before="0" w:line="360"/>
        <w:jc w:val="both"/>
      </w:pPr>
      <w:r>
        <w:t xml:space="preserve">A water district is the only water-delivery entity specifically authorized and required to administer the delivery of Idaho water from a public water source or water system. The water district delivers and administers water from the public source to individuals who hold valid water rights or to entities that hold valid water rights.</w:t>
      </w:r>
    </w:p>
    <w:p>
      <w:pPr>
        <w:spacing w:after="120" w:before="0" w:line="360"/>
        <w:jc w:val="both"/>
      </w:pPr>
      <w:r>
        <w:t xml:space="preserve">Numerous water-delivery entities are subject to the administration and delivery of water by a water district watermaster. Listed below are common entities that deliver, convey, or provide water to consumers after it has been delivered by a water district watermaster:</w:t>
      </w:r>
    </w:p>
    <w:p>
      <w:pPr>
        <w:pStyle w:val="ListParagraph"/>
        <w:numPr>
          <w:ilvl w:val="0"/>
          <w:numId w:val="1"/>
        </w:numPr>
        <w:spacing w:after="60" w:before="0" w:line="360"/>
        <w:jc w:val="both"/>
      </w:pPr>
      <w:r>
        <w:t xml:space="preserve">Irrigation districts</w:t>
      </w:r>
    </w:p>
    <w:p>
      <w:pPr>
        <w:pStyle w:val="ListParagraph"/>
        <w:numPr>
          <w:ilvl w:val="0"/>
          <w:numId w:val="1"/>
        </w:numPr>
        <w:spacing w:after="60" w:before="0" w:line="360"/>
        <w:jc w:val="both"/>
      </w:pPr>
      <w:r>
        <w:t xml:space="preserve">Irrigation companies</w:t>
      </w:r>
    </w:p>
    <w:p>
      <w:pPr>
        <w:pStyle w:val="ListParagraph"/>
        <w:numPr>
          <w:ilvl w:val="0"/>
          <w:numId w:val="1"/>
        </w:numPr>
        <w:spacing w:after="60" w:before="0" w:line="360"/>
        <w:jc w:val="both"/>
      </w:pPr>
      <w:r>
        <w:t xml:space="preserve">Homeowner associations</w:t>
      </w:r>
    </w:p>
    <w:p>
      <w:pPr>
        <w:pStyle w:val="ListParagraph"/>
        <w:numPr>
          <w:ilvl w:val="0"/>
          <w:numId w:val="1"/>
        </w:numPr>
        <w:spacing w:after="60" w:before="0" w:line="360"/>
        <w:jc w:val="both"/>
      </w:pPr>
      <w:r>
        <w:t xml:space="preserve">Lateral water user organizations</w:t>
      </w:r>
    </w:p>
    <w:p>
      <w:pPr>
        <w:pStyle w:val="ListParagraph"/>
        <w:numPr>
          <w:ilvl w:val="0"/>
          <w:numId w:val="1"/>
        </w:numPr>
        <w:spacing w:after="60" w:before="0" w:line="360"/>
        <w:jc w:val="both"/>
      </w:pPr>
      <w:r>
        <w:t xml:space="preserve">Municipalities</w:t>
      </w:r>
    </w:p>
    <w:p>
      <w:pPr>
        <w:pStyle w:val="ListParagraph"/>
        <w:numPr>
          <w:ilvl w:val="0"/>
          <w:numId w:val="1"/>
        </w:numPr>
        <w:spacing w:after="240" w:before="0" w:line="360"/>
        <w:jc w:val="both"/>
      </w:pPr>
      <w:r>
        <w:t xml:space="preserve">Canal companies</w:t>
      </w:r>
    </w:p>
    <w:p>
      <w:pPr>
        <w:spacing w:after="120" w:before="0" w:line="360"/>
        <w:jc w:val="both"/>
      </w:pPr>
      <w:r>
        <w:t xml:space="preserve">These entities distribute water to patrons or customers through a common conveyance system or systems after the water is diverted from the public water source.</w:t>
      </w:r>
    </w:p>
    <w:p>
      <w:pPr>
        <w:spacing w:after="240" w:before="0" w:line="360"/>
        <w:jc w:val="both"/>
      </w:pPr>
      <w:r>
        <w:t xml:space="preserve">The Idaho Department of Water Resources Administrative Areas Basin Map is attached in Appendix B: 10-2.</w:t>
      </w:r>
    </w:p>
    <w:p>
      <w:pPr>
        <w:spacing w:after="120" w:before="120"/>
        <w:jc w:val="left"/>
      </w:pPr>
      <w:r>
        <w:t xml:space="preserve">Canal Systems</w:t>
      </w:r>
    </w:p>
    <w:p>
      <w:pPr>
        <w:spacing w:after="120" w:before="0" w:line="360"/>
        <w:jc w:val="both"/>
      </w:pPr>
      <w:r>
        <w:t xml:space="preserve">Jerome County has three irrigation water delivery entities that provide surface irrigation water primarily to shareholders for crop irrigation. They are A &amp; B Irrigation District, American Falls Reservoir District #2, and the North Side Canal Company (NSCC). Surface water is utilized on many large and small farms and is crucial to the sustainability of agriculture. Refer to Appendix B: 10-3: Irrigation Delivery Entities Map.</w:t>
      </w:r>
    </w:p>
    <w:p>
      <w:pPr>
        <w:spacing w:after="240" w:before="0" w:line="360"/>
        <w:jc w:val="both"/>
      </w:pPr>
      <w:r>
        <w:t xml:space="preserve">The protection of irrigation infrastructure — including canals, laterals, drains, headgates, and associated easements — is a critical public interest. Irrigation infrastructure serves as the foundation of Jerome County's agricultural economy and is irreplaceable once disrupted. Any development, including energy projects, proposed within proximity to irrigation infrastructure shall be evaluated for potential impacts on water delivery, canal integrity, and the rights of water users. The County adopts the position that adequate setbacks from irrigation canals, laterals, and wells are essential components of any conditional use permit for development in agricultural areas.</w:t>
      </w:r>
    </w:p>
    <w:p>
      <w:pPr>
        <w:spacing w:after="120" w:before="240"/>
        <w:jc w:val="left"/>
      </w:pPr>
      <w:r>
        <w:t xml:space="preserve">ENERGY AND POWER</w:t>
      </w:r>
    </w:p>
    <w:p>
      <w:pPr>
        <w:spacing w:after="120" w:before="120"/>
        <w:jc w:val="left"/>
      </w:pPr>
      <w:r>
        <w:t xml:space="preserve">Electric Power</w:t>
      </w:r>
    </w:p>
    <w:p>
      <w:pPr>
        <w:spacing w:after="240" w:before="0" w:line="360"/>
        <w:jc w:val="both"/>
      </w:pPr>
      <w:r>
        <w:t xml:space="preserve">Electrical service for Jerome County is provided by Idaho Power distributed through the Midpoint Substation. Some of the power that is produced within Jerome County is generated by water from Milner, Shoshone Falls, and Twin Falls Dams. There are private electrical generating systems that are not owned by Idaho Power that produce electrical power by the way of canal systems within Jerome County.</w:t>
      </w:r>
    </w:p>
    <w:p>
      <w:pPr>
        <w:spacing w:after="120" w:before="120"/>
        <w:jc w:val="left"/>
      </w:pPr>
      <w:r>
        <w:t xml:space="preserve">National Interest Electric Transmission Corridor (NIETC)</w:t>
      </w:r>
    </w:p>
    <w:p>
      <w:pPr>
        <w:spacing w:after="240" w:before="0" w:line="360"/>
        <w:jc w:val="both"/>
      </w:pPr>
      <w:r>
        <w:t xml:space="preserve">The County is located in the Western geographic region designated by the United States Department of Energy. Under the Energy Policy Act of 2005 the Department of Energy has the authority to create these regions in an effort to speed the creation of more transmission capacity. Jerome County has authorization to regulate, to some degree, the siting of these transmission lines.</w:t>
      </w:r>
    </w:p>
    <w:p>
      <w:pPr>
        <w:spacing w:after="120" w:before="120"/>
        <w:jc w:val="left"/>
      </w:pPr>
      <w:r>
        <w:t xml:space="preserve">Natural Gas</w:t>
      </w:r>
    </w:p>
    <w:p>
      <w:pPr>
        <w:spacing w:after="240" w:before="0" w:line="360"/>
        <w:jc w:val="both"/>
      </w:pPr>
      <w:r>
        <w:t xml:space="preserve">Intermountain Gas Company operates gas fuel distribution lines in more densely populated portions of the County primarily around the City of Jerome. Although limited, there is natural gas service east of U.S. Route 93.</w:t>
      </w:r>
    </w:p>
    <w:p>
      <w:pPr>
        <w:spacing w:after="120" w:before="120"/>
        <w:jc w:val="left"/>
      </w:pPr>
      <w:r>
        <w:t xml:space="preserve">Renewable Energy</w:t>
      </w:r>
    </w:p>
    <w:p>
      <w:pPr>
        <w:spacing w:after="240" w:before="0" w:line="360"/>
        <w:jc w:val="both"/>
      </w:pPr>
      <w:r>
        <w:t xml:space="preserve">Renewable energy is energy that is collected from renewable resources, which are naturally replenished on a human timescale — such as sunlight, wind, rain, tides, waves, and geothermal heat. Renewable energy often provides energy in four important areas: electricity generation, air and water heating/cooling, transportation, and rural (off-grid) energy services. Currently renewable energy sources such as geothermal and solar are privately owned for individual use throughout the County. Additionally, hydropower is generated at facilities throughout the County, including Idaho Power Company's hydropower plants on the Snake River and the North Side Canal Company's in-canal small hydropower plants.</w:t>
      </w:r>
    </w:p>
    <w:p>
      <w:pPr>
        <w:spacing w:after="120" w:before="240"/>
        <w:jc w:val="left"/>
      </w:pPr>
      <w:r>
        <w:t xml:space="preserve">LARGE-SCALE ENERGY FACILITIES, DATA CENTERS, AND AGRICULTURAL LAND PROTECTION</w:t>
      </w:r>
    </w:p>
    <w:p>
      <w:pPr>
        <w:spacing w:after="120" w:before="0" w:line="360"/>
        <w:jc w:val="both"/>
      </w:pPr>
      <w:r>
        <w:t xml:space="preserve">Jerome County's position on large-scale energy facilities — including utility-scale solar, wind farms, battery energy storage systems (BESS), and associated transmission infrastructure — AND HYPERSCALE DATA CENTER FACILITIES — is informed by a thorough assessment of the County's infrastructure capacity, agricultural resource base, regulatory capacity, community values, economic conditions, and cumulative development pressure.</w:t>
      </w:r>
    </w:p>
    <w:p>
      <w:pPr>
        <w:spacing w:after="120" w:before="0" w:line="360"/>
        <w:jc w:val="both"/>
      </w:pPr>
      <w:r>
        <w:t xml:space="preserve">This policy posture is consistent with state legislative direction. On March 16, 2026, the Idaho House of Representatives adopted House Concurrent Resolution 32 (HCR032), which declares that transmission infrastructure that does not benefit Idaho utility customers and materially harms agriculture, critical water resources, or rural communities is inconsistent with state policy. HCR032 affirms that “private property rights, local land use authority, and the protection of agricultural and rural communities are paramount considerations” in the siting of any major energy infrastructure. It recognizes the Eastern Snake Plain Aquifer as a critical groundwater resource whose protection is of statewide importance. The ordinance framework established in this chapter and implemented in Chapters 7 and 11 directly implements the legislative principles expressed in HCR032.</w:t>
      </w:r>
    </w:p>
    <w:p>
      <w:pPr>
        <w:spacing w:after="120" w:before="0" w:line="360"/>
        <w:jc w:val="both"/>
      </w:pPr>
      <w:r>
        <w:t xml:space="preserve">This policy posture is further supported by direct community evidence. The JTown Beacon Community Survey (March 2026, 65 respondents) found that 93.8% of Jerome County respondents rate agricultural land preservation as important or extremely important; 93.7% oppose allowing large-scale energy development in agricultural zones; 92.3% are concerned about BESS safety risks; 80% say current guidelines are not strict enough; 90.8% support county-wide notification for all proposed energy and data center projects; 90.8% rate decommissioning financial assurance as extremely important; 87.7% say energy development should be limited to protect farmland and rural character; and 80% say the current approach needs significant revision. These results demonstrate that the regulatory framework established in this chapter and implemented in Chapters 7 and 11 reflects documented community consensus.</w:t>
      </w:r>
    </w:p>
    <w:p>
      <w:pPr>
        <w:spacing w:after="120" w:before="0" w:line="360"/>
        <w:jc w:val="both"/>
      </w:pPr>
      <w:r>
        <w:t xml:space="preserve">The County has evaluated its posture toward large-scale energy development using the County Siting Posture Metric (CSPM) framework, a structured scoring methodology that assesses six dimensions critical to sound siting policy:</w:t>
      </w:r>
    </w:p>
    <w:p>
      <w:pPr>
        <w:pStyle w:val="ListParagraph"/>
        <w:numPr>
          <w:ilvl w:val="0"/>
          <w:numId w:val="1"/>
        </w:numPr>
        <w:spacing w:after="120" w:before="0" w:line="360"/>
        <w:jc w:val="both"/>
      </w:pPr>
      <w:r>
        <w:t xml:space="preserve">Infrastructure Capacity — Large-scale energy facilities and hyperscale data centers make extraordinary demands on water, power, roads, and emergency services. Data centers in particular consume massive quantities of water for cooling and impose sudden, sustained electrical loads that can destabilize local grids and drive up utility rates for all ratepayers — effects documented nationally at increases of up to 267% in Virginia over five years.</w:t>
      </w:r>
    </w:p>
    <w:p>
      <w:pPr>
        <w:pStyle w:val="ListParagraph"/>
        <w:numPr>
          <w:ilvl w:val="0"/>
          <w:numId w:val="1"/>
        </w:numPr>
        <w:spacing w:after="120" w:before="0" w:line="360"/>
        <w:jc w:val="both"/>
      </w:pPr>
      <w:r>
        <w:t xml:space="preserve">Agricultural Protection — Jerome County contains some of the most productive agricultural land in Idaho. The USDA NRCS identifies Class I and Class II land capability classifications as prime farmland — irreplaceable for food and fiber production. Once converted to industrial energy use, these soils cannot feasibly be restored. The County's agricultural lands are actively farmed, with no surplus for conversion to non-agricultural uses without significant economic and environmental repercussions. Satellite imagery illustrates the intensive use of privately held lands for agriculture, showing a stark contrast between the verdant, irrigated farmlands and the arid, unmanaged public lands under Bureau of Land Management (BLM) oversight.</w:t>
      </w:r>
    </w:p>
    <w:p>
      <w:pPr>
        <w:pStyle w:val="ListParagraph"/>
        <w:numPr>
          <w:ilvl w:val="0"/>
          <w:numId w:val="1"/>
        </w:numPr>
        <w:spacing w:after="120" w:before="0" w:line="360"/>
        <w:jc w:val="both"/>
      </w:pPr>
      <w:r>
        <w:t xml:space="preserve">Regulatory Capacity — The County has limited planning staff and must ensure that any review framework for complex energy applications includes independent technical review funded entirely by applicants, clear objective standards, and enforceable conditions of approval.</w:t>
      </w:r>
    </w:p>
    <w:p>
      <w:pPr>
        <w:pStyle w:val="ListParagraph"/>
        <w:numPr>
          <w:ilvl w:val="0"/>
          <w:numId w:val="1"/>
        </w:numPr>
        <w:spacing w:after="120" w:before="0" w:line="360"/>
        <w:jc w:val="both"/>
      </w:pPr>
      <w:r>
        <w:t xml:space="preserve">Community and Plan Alignment — Jerome County's Comprehensive Plan has historically prioritized agricultural preservation and rural character. The community has consistently expressed, through public process, strong support for protecting farmland from industrial-scale conversion. This plan amendment reflects that documented community consensus.</w:t>
      </w:r>
    </w:p>
    <w:p>
      <w:pPr>
        <w:pStyle w:val="ListParagraph"/>
        <w:numPr>
          <w:ilvl w:val="0"/>
          <w:numId w:val="1"/>
        </w:numPr>
        <w:spacing w:after="120" w:before="0" w:line="360"/>
        <w:jc w:val="both"/>
      </w:pPr>
      <w:r>
        <w:t xml:space="preserve">Economic Conditions — Jerome County's economy is anchored in agriculture. While the County would benefit from additional assessed valuation, it is not fiscally dependent on energy development revenue. The agricultural economy provides stable, long-term economic value that energy project tax payments do not replace.</w:t>
      </w:r>
    </w:p>
    <w:p>
      <w:pPr>
        <w:pStyle w:val="ListParagraph"/>
        <w:numPr>
          <w:ilvl w:val="0"/>
          <w:numId w:val="1"/>
        </w:numPr>
        <w:spacing w:after="240" w:before="0" w:line="360"/>
        <w:jc w:val="both"/>
      </w:pPr>
      <w:r>
        <w:t xml:space="preserve">Cumulative and Regional Pressure — Southern Idaho is experiencing growing interest from large-scale energy developers attracted by favorable solar and wind resources, inexpensive land, and proximity to transmission. The realistic scenario is not one project but a wave of applications that, cumulatively, could fundamentally alter the County's agricultural character.</w:t>
      </w:r>
    </w:p>
    <w:p>
      <w:pPr>
        <w:spacing w:after="240" w:before="0" w:line="360"/>
        <w:jc w:val="both"/>
      </w:pPr>
      <w:r>
        <w:t xml:space="preserve">Based on this assessment, the County adopts the following policy positions:</w:t>
      </w:r>
    </w:p>
    <w:p>
      <w:pPr>
        <w:spacing w:after="120" w:before="120"/>
        <w:jc w:val="left"/>
      </w:pPr>
      <w:r>
        <w:t xml:space="preserve">Agricultural Soil Protection</w:t>
      </w:r>
    </w:p>
    <w:p>
      <w:pPr>
        <w:spacing w:after="240" w:before="0" w:line="360"/>
        <w:jc w:val="both"/>
      </w:pPr>
      <w:r>
        <w:t xml:space="preserve">Class I and Class II agricultural soils, as classified by the USDA NRCS, shall be categorically protected from energy project siting. No conditional use permit, variance, or administrative waiver may authorize the siting of any energy generation, storage, or transmission facility on Class I or Class II soils. This standard is consistent with protections adopted by Cecil County, Maryland and Montgomery County, Maryland — among the strictest agricultural soil protections in the United States.</w:t>
      </w:r>
    </w:p>
    <w:p>
      <w:pPr>
        <w:spacing w:after="120" w:before="120"/>
        <w:jc w:val="left"/>
      </w:pPr>
      <w:r>
        <w:t xml:space="preserve">Siting Priorities</w:t>
      </w:r>
    </w:p>
    <w:p>
      <w:pPr>
        <w:spacing w:after="240" w:before="0" w:line="360"/>
        <w:jc w:val="both"/>
      </w:pPr>
      <w:r>
        <w:t xml:space="preserve">Large-scale energy projects should be directed to those portions of the County that are unfit for farming or other agricultural uses — desert areas existing on BLM grounds, buttes, land with rock outcroppings, arid sagebrush rangelands, basalt lava fields, steep canyon rims or slopes unsuitable for irrigation, areas with shallow stony soils over bedrock, saline flats, and non-productive dry grazing lands. Energy facilities shall not be permitted on actively farmed agricultural land.</w:t>
      </w:r>
    </w:p>
    <w:p>
      <w:pPr>
        <w:spacing w:after="120" w:before="120"/>
        <w:jc w:val="left"/>
      </w:pPr>
      <w:r>
        <w:t xml:space="preserve">Data Center Facilities</w:t>
      </w:r>
    </w:p>
    <w:p>
      <w:pPr>
        <w:spacing w:after="240" w:before="0" w:line="360"/>
        <w:jc w:val="both"/>
      </w:pPr>
      <w:r>
        <w:t xml:space="preserve">Hyperscale data center facilities impose demands on water, power, and infrastructure comparable to or exceeding those of large-scale energy generation facilities. The County's energy facilities ordinance (Chapter 11) applies to data center facilities meeting defined thresholds. Data centers proposed in Jerome County shall be subject to the same tiered review, impact analysis, decommissioning, and community notification requirements as energy generation facilities. The County recognizes that the utility rate effects of data center development — documented nationally — are borne by all ratepayers and therefore require county-wide public notification for any project requiring new transmission or substation infrastructure.</w:t>
      </w:r>
    </w:p>
    <w:p>
      <w:pPr>
        <w:spacing w:after="120" w:before="120"/>
        <w:jc w:val="left"/>
      </w:pPr>
      <w:r>
        <w:t xml:space="preserve">Tiered Review Framework</w:t>
      </w:r>
    </w:p>
    <w:p>
      <w:pPr>
        <w:spacing w:after="240" w:before="0" w:line="360"/>
        <w:jc w:val="both"/>
      </w:pPr>
      <w:r>
        <w:t xml:space="preserve">The County supports a tiered classification system for energy projects proportional to their scale and impact. Small-scale, on-site energy systems serving agricultural, residential, or small commercial operations are appropriate and should be permitted through administrative review. Medium and large-scale commercial energy projects require progressively more rigorous review, including conditional use permits with objective setback, noise, and environmental standards, mandatory decommissioning financial assurance, and public participation guarantees. The specific standards for this framework are established in the Jerome County Zoning Ordinance, Chapter 11.</w:t>
      </w:r>
    </w:p>
    <w:p>
      <w:pPr>
        <w:spacing w:after="120" w:before="120"/>
        <w:jc w:val="left"/>
      </w:pPr>
      <w:r>
        <w:t xml:space="preserve">Relationship to State Law</w:t>
      </w:r>
    </w:p>
    <w:p>
      <w:pPr>
        <w:spacing w:after="240" w:before="0" w:line="360"/>
        <w:jc w:val="both"/>
      </w:pPr>
      <w:r>
        <w:t xml:space="preserve">The current state trend supports agricultural land protection. The Idaho Agricultural Protection Area Act became state law in 2024 for the purpose of safeguarding Idaho's working farms, ranches, and forests from conversion to non-agricultural uses amid rapid population growth and development pressures. Senate Bill 1133 (2025) proposes to amend this Act to prohibit non-agricultural uses like wind and solar infrastructure on protected lands. The County's policies are consistent with and complementary to this state legislative direction.</w:t>
      </w:r>
    </w:p>
    <w:p>
      <w:pPr>
        <w:spacing w:after="120" w:before="120"/>
        <w:jc w:val="left"/>
      </w:pPr>
      <w:r>
        <w:t xml:space="preserve">Costs Borne by Applicants</w:t>
      </w:r>
    </w:p>
    <w:p>
      <w:pPr>
        <w:spacing w:after="240" w:before="0" w:line="360"/>
        <w:jc w:val="both"/>
      </w:pPr>
      <w:r>
        <w:t xml:space="preserve">All costs associated with energy facility review — including environmental impact assessments, independent technical studies, infrastructure impact analyses, and decommissioning financial assurance — shall be borne entirely by project applicants. The County shall not subsidize or absorb costs created by energy development proposals.</w:t>
      </w:r>
    </w:p>
    <w:p>
      <w:pPr>
        <w:spacing w:after="120" w:before="120"/>
        <w:jc w:val="left"/>
      </w:pPr>
      <w:r>
        <w:t xml:space="preserve">Community Notification Policy</w:t>
      </w:r>
    </w:p>
    <w:p>
      <w:pPr>
        <w:spacing w:after="240" w:before="0" w:line="360"/>
        <w:jc w:val="both"/>
      </w:pPr>
      <w:r>
        <w:t xml:space="preserve">The County adopts the position that all citizens of the county have the right to advance written notification before any public hearing on a proposed medium- or large-scale energy or data center project. Standard notification distances of 300 to 1,320 feet are inadequate for projects whose property value effects, noise impacts, utility rate consequences, and infrastructure costs extend miles beyond their boundaries and affect every ratepayer and taxpayer in the jurisdiction. The County's adopted notification standard for all Tier 2 and Tier 3 energy and data center projects is county-wide or twenty-five (25) miles from the project boundary, whichever is greater. The scale, permanence, and cascading systemic impacts of these projects — grid destabilization, utility rate increases borne by all ratepayers, groundwater depletion, irreversible agricultural land conversion, and cumulative pressure from multiple applications — are without historical precedent in rural counties. Most residents do not yet fully understand the scope of these impacts, and maximum notification is essential to informed democratic participation. Notification is not opposition — it is the minimum prerequisite for democratic participation in decisions that affect community character, property values, and utility rates.</w:t>
      </w:r>
    </w:p>
    <w:p>
      <w:pPr>
        <w:spacing w:after="120" w:before="120"/>
        <w:jc w:val="left"/>
      </w:pPr>
      <w:r>
        <w:t xml:space="preserve">Telecommunications</w:t>
      </w:r>
    </w:p>
    <w:p>
      <w:pPr>
        <w:spacing w:after="240" w:before="0" w:line="360"/>
        <w:jc w:val="both"/>
      </w:pPr>
      <w:r>
        <w:t xml:space="preserve">Telecommunications services such as phone, cable, broadband, and fiber optics are provided by various private entities. These lines generally coincide with major electrical transmission lines. The majority of telecommunications facilities are located on various buttes that are located within Jerome County that are managed by private entities and Idaho Department of Lands.</w:t>
      </w:r>
    </w:p>
    <w:p>
      <w:pPr>
        <w:pageBreakBefore/>
        <w:spacing w:after="120"/>
        <w:jc w:val="center"/>
      </w:pPr>
      <w:r>
        <w:rPr>
          <w:rFonts w:ascii="Arial" w:cs="Arial" w:eastAsia="Arial" w:hAnsi="Arial"/>
          <w:b/>
          <w:bCs/>
          <w:color w:val="1F3864"/>
          <w:sz w:val="24"/>
          <w:szCs w:val="24"/>
        </w:rPr>
        <w:t xml:space="preserve">DOCUMENT REVISION HISTORY</w:t>
      </w:r>
    </w:p>
    <w:p>
      <w:pPr>
        <w:spacing w:after="80"/>
        <w:jc w:val="center"/>
      </w:pPr>
      <w:r>
        <w:rPr>
          <w:rFonts w:ascii="Arial" w:cs="Arial" w:eastAsia="Arial" w:hAnsi="Arial"/>
          <w:i/>
          <w:iCs/>
          <w:color w:val="2E75B6"/>
          <w:sz w:val="20"/>
          <w:szCs w:val="20"/>
        </w:rPr>
        <w:t xml:space="preserve">Chapter 10 — Utilities</w:t>
      </w:r>
    </w:p>
    <w:p>
      <w:pPr>
        <w:pBdr>
          <w:bottom w:val="single" w:color="2E75B6" w:sz="4" w:space="4"/>
        </w:pBdr>
        <w:spacing w:after="1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000"/>
        <w:gridCol w:w="5160"/>
        <w:gridCol w:w="2000"/>
      </w:tblGrid>
      <w:tr>
        <w:tc>
          <w:tcPr>
            <w:tcW w:type="dxa" w:w="12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Version</w:t>
            </w:r>
          </w:p>
        </w:tc>
        <w:tc>
          <w:tcPr>
            <w:tcW w:type="dxa" w:w="1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Date</w:t>
            </w:r>
          </w:p>
        </w:tc>
        <w:tc>
          <w:tcPr>
            <w:tcW w:type="dxa" w:w="516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Changes / Updates</w:t>
            </w:r>
          </w:p>
        </w:tc>
        <w:tc>
          <w:tcPr>
            <w:tcW w:type="dxa" w:w="2000"/>
            <w:tcBorders>
              <w:top w:val="single" w:color="AAAAAA" w:sz="1"/>
              <w:left w:val="single" w:color="AAAAAA" w:sz="1"/>
              <w:bottom w:val="single" w:color="AAAAAA" w:sz="1"/>
              <w:right w:val="single" w:color="AAAAAA" w:sz="1"/>
            </w:tcBorders>
            <w:shd w:fill="1F3864" w:val="clear"/>
            <w:tcMar>
              <w:top w:type="dxa" w:w="40"/>
              <w:left w:type="dxa" w:w="80"/>
              <w:bottom w:type="dxa" w:w="40"/>
              <w:right w:type="dxa" w:w="80"/>
            </w:tcMar>
          </w:tcPr>
          <w:p>
            <w:pPr>
              <w:spacing w:after="20"/>
            </w:pPr>
            <w:r>
              <w:rPr>
                <w:rFonts w:ascii="Arial" w:cs="Arial" w:eastAsia="Arial" w:hAnsi="Arial"/>
                <w:b/>
                <w:bCs/>
                <w:color w:val="FFFFFF"/>
                <w:sz w:val="18"/>
                <w:szCs w:val="18"/>
              </w:rPr>
              <w:t xml:space="preserve">Reviewed By</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v1</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Initial utilities chapter covering energy facility capacity, water resources, electrical utilities, and telecommunications infrastructure</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v5</w:t>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Mar 22, 2026</w:t>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revision tracking page; final consistency review</w:t>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v6</w:t>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Mar 23, 2026</w:t>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Added IdahoEnergy logo to footer; package expanded from 14 to 17 documents</w:t>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J. Pierson</w:t>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shd w:fill="F2F7FB" w:val="clear"/>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r>
        <w:tc>
          <w:tcPr>
            <w:tcW w:type="dxa" w:w="12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1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516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c>
          <w:tcPr>
            <w:tcW w:type="dxa" w:w="2000"/>
            <w:tcBorders>
              <w:top w:val="single" w:color="AAAAAA" w:sz="1"/>
              <w:left w:val="single" w:color="AAAAAA" w:sz="1"/>
              <w:bottom w:val="single" w:color="AAAAAA" w:sz="1"/>
              <w:right w:val="single" w:color="AAAAAA" w:sz="1"/>
            </w:tcBorders>
            <w:tcMar>
              <w:top w:type="dxa" w:w="40"/>
              <w:left w:type="dxa" w:w="80"/>
              <w:bottom w:type="dxa" w:w="40"/>
              <w:right w:type="dxa" w:w="80"/>
            </w:tcMar>
          </w:tcPr>
          <w:p>
            <w:pPr>
              <w:spacing w:after="20"/>
            </w:pPr>
            <w:r>
              <w:rPr>
                <w:rFonts w:ascii="Arial" w:cs="Arial" w:eastAsia="Arial" w:hAnsi="Arial"/>
                <w:b w:val="false"/>
                <w:bCs w:val="false"/>
                <w:sz w:val="18"/>
                <w:szCs w:val="18"/>
              </w:rPr>
              <w:t xml:space="preserve"/>
            </w:r>
          </w:p>
        </w:tc>
      </w:tr>
    </w:tbl>
    <w:p>
      <w:pPr>
        <w:spacing w:after="120" w:before="200"/>
      </w:pPr>
      <w:r>
        <w:rPr>
          <w:rFonts w:ascii="Arial" w:cs="Arial" w:eastAsia="Arial" w:hAnsi="Arial"/>
          <w:b/>
          <w:bCs/>
          <w:color w:val="1F3864"/>
          <w:sz w:val="20"/>
          <w:szCs w:val="20"/>
        </w:rPr>
        <w:t xml:space="preserve">REVIEW NOTES</w:t>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p>
      <w:pPr>
        <w:pBdr>
          <w:bottom w:val="single" w:color="CCCCCC" w:sz="1" w:space="4"/>
        </w:pBdr>
        <w:spacing w:after="60"/>
      </w:pPr>
      <w:r>
        <w:rPr>
          <w:rFonts w:ascii="Arial" w:cs="Arial" w:eastAsia="Arial" w:hAnsi="Arial"/>
          <w:sz w:val="18"/>
          <w:szCs w:val="18"/>
        </w:rPr>
        <w:t xml:space="preserve"/>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00"/>
      <w:gridCol w:w="100"/>
    </w:tblGrid>
    <w:tr>
      <w:tc>
        <w:tcPr>
          <w:tcW w:type="auto" w:w="50"/>
          <w:tcBorders>
            <w:top w:val="none" w:color="FFFFFF" w:sz="0"/>
            <w:left w:val="none" w:color="FFFFFF" w:sz="0"/>
            <w:bottom w:val="none" w:color="FFFFFF" w:sz="0"/>
            <w:right w:val="none" w:color="FFFFFF" w:sz="0"/>
          </w:tcBorders>
        </w:tcPr>
        <w:p>
          <w:r>
            <w:drawing>
              <wp:inline distT="0" distB="0" distL="0" distR="0">
                <wp:extent cx="285750" cy="304800"/>
                <wp:effectExtent t="0" r="0" b="0" l="0"/>
                <wp:docPr id="1" name="logo" descr="Idaho Energy Reform Logo" title="Idaho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304800"/>
                        </a:xfrm>
                        <a:prstGeom prst="rect">
                          <a:avLst/>
                        </a:prstGeom>
                      </pic:spPr>
                    </pic:pic>
                  </a:graphicData>
                </a:graphic>
              </wp:inline>
            </w:drawing>
          </w:r>
        </w:p>
        <w:p>
          <w:pPr>
            <w:pStyle w:val="Normal"/>
            <w:jc w:val="left"/>
          </w:pPr>
          <w:r>
            <w:t xml:space="preserve">Chapter 10 Utilities</w:t>
          </w:r>
        </w:p>
      </w:tc>
      <w:tc>
        <w:tcPr>
          <w:tcW w:type="auto" w:w="50"/>
          <w:tcBorders>
            <w:top w:val="none" w:color="FFFFFF" w:sz="0"/>
            <w:left w:val="none" w:color="FFFFFF" w:sz="0"/>
            <w:bottom w:val="none" w:color="FFFFFF" w:sz="0"/>
            <w:right w:val="none" w:color="FFFFFF" w:sz="0"/>
          </w:tcBorders>
        </w:tcPr>
        <w:p>
          <w:pPr>
            <w:pStyle w:val="Normal"/>
            <w:jc w:val="right"/>
          </w:pPr>
          <w:r>
            <w:t xml:space="preserve">Page XX</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9ca865e1c5a7b0148e78c60e0124e67a684ba821.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2026-03-23T07:47:55.191Z</dcterms:created>
  <dcterms:modified xsi:type="dcterms:W3CDTF">2026-03-23T07:47:55.192Z</dcterms:modified>
</cp:coreProperties>
</file>

<file path=docProps/custom.xml><?xml version="1.0" encoding="utf-8"?>
<Properties xmlns="http://schemas.openxmlformats.org/officeDocument/2006/custom-properties" xmlns:vt="http://schemas.openxmlformats.org/officeDocument/2006/docPropsVTypes"/>
</file>