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276"/>
        <w:jc w:val="center"/>
      </w:pPr>
      <w:r>
        <w:rPr>
          <w:rFonts w:ascii="Arial" w:cs="Arial" w:eastAsia="Arial" w:hAnsi="Arial"/>
          <w:b/>
          <w:bCs/>
          <w:i w:val="false"/>
          <w:iCs w:val="false"/>
          <w:color w:val="1F3864"/>
          <w:sz w:val="36"/>
          <w:szCs w:val="36"/>
        </w:rPr>
        <w:t xml:space="preserve">JEROME COUNTY ENERGY ORDINANCE REFORM</w:t>
      </w:r>
    </w:p>
    <w:p>
      <w:pPr>
        <w:spacing w:after="80" w:before="0" w:line="276"/>
        <w:jc w:val="center"/>
      </w:pPr>
      <w:r>
        <w:rPr>
          <w:rFonts w:ascii="Arial" w:cs="Arial" w:eastAsia="Arial" w:hAnsi="Arial"/>
          <w:b/>
          <w:bCs/>
          <w:i w:val="false"/>
          <w:iCs w:val="false"/>
          <w:color w:val="2E75B6"/>
          <w:sz w:val="28"/>
          <w:szCs w:val="28"/>
        </w:rPr>
        <w:t xml:space="preserve">Document Package Guide and Table of Contents</w:t>
      </w:r>
    </w:p>
    <w:p>
      <w:pPr>
        <w:pBdr>
          <w:bottom w:val="single" w:color="2E75B6" w:sz="8" w:space="1"/>
        </w:pBdr>
        <w:spacing w:after="80"/>
        <w:jc w:val="center"/>
      </w:pPr>
    </w:p>
    <w:p>
      <w:pPr>
        <w:spacing w:after="300" w:before="0" w:line="276"/>
        <w:jc w:val="center"/>
      </w:pPr>
      <w:r>
        <w:rPr>
          <w:rFonts w:ascii="Arial" w:cs="Arial" w:eastAsia="Arial" w:hAnsi="Arial"/>
          <w:b w:val="false"/>
          <w:bCs w:val="false"/>
          <w:i/>
          <w:iCs/>
          <w:color w:val="666666"/>
          <w:sz w:val="20"/>
          <w:szCs w:val="20"/>
        </w:rPr>
        <w:t xml:space="preserve">Jeff Pierson, Confidential Solutions LLC  |  713 East Ave C, Jerome, Idaho  |  March 2026</w:t>
      </w:r>
    </w:p>
    <w:p>
      <w:pPr>
        <w:pStyle w:val="Heading1"/>
        <w:spacing w:after="160" w:before="300"/>
      </w:pPr>
      <w:r>
        <w:rPr>
          <w:rFonts w:ascii="Arial" w:cs="Arial" w:eastAsia="Arial" w:hAnsi="Arial"/>
          <w:b/>
          <w:bCs/>
          <w:color w:val="1F3864"/>
          <w:sz w:val="28"/>
          <w:szCs w:val="28"/>
        </w:rPr>
        <w:t xml:space="preserve">Overview</w:t>
      </w:r>
    </w:p>
    <w:p>
      <w:pPr>
        <w:spacing w:after="160" w:before="0" w:line="276"/>
      </w:pPr>
      <w:r>
        <w:rPr>
          <w:rFonts w:ascii="Arial" w:cs="Arial" w:eastAsia="Arial" w:hAnsi="Arial"/>
          <w:sz w:val="22"/>
          <w:szCs w:val="22"/>
        </w:rPr>
        <w:t xml:space="preserve">This guide accompanies a package of seventeen documents prepared in response to the Jerome County Planning and Zoning Commission’s recommendations of February 23, 2026. Together, these documents constitute a complete, integrated citizen proposal for the regulation of energy facilities and data center developments in Jerome County—covering the Comprehensive Plan, the Zoning Ordinance, the formal record before the Board of County Commissioners, policy position papers, a glossary of definitions, a comprehensive source catalog, two supplements documenting water/infrastructure vulnerabilities and community survey evidence in national context, a legal defensibility analysis, a fiscal impact analysis, and the County Siting Posture Metric (CSPM) framework application. The package is supported by the </w:t>
      </w:r>
      <w:r>
        <w:rPr>
          <w:rFonts w:ascii="Arial" w:cs="Arial" w:eastAsia="Arial" w:hAnsi="Arial"/>
          <w:b/>
          <w:bCs/>
          <w:sz w:val="22"/>
          <w:szCs w:val="22"/>
        </w:rPr>
        <w:t xml:space="preserve">JTown Beacon Community Survey (March 2026, 65 respondents)</w:t>
      </w:r>
      <w:r>
        <w:rPr>
          <w:rFonts w:ascii="Arial" w:cs="Arial" w:eastAsia="Arial" w:hAnsi="Arial"/>
          <w:sz w:val="22"/>
          <w:szCs w:val="22"/>
        </w:rPr>
        <w:t xml:space="preserve">, which provides direct evidence of near-unanimous community support for the protective standards proposed here: 93.8% prioritize agricultural preservation, 93.7% oppose large-scale energy in agricultural zones, 90.8% support county-wide notification, and 80% say the current regulatory approach needs significant revision.</w:t>
      </w:r>
    </w:p>
    <w:p>
      <w:pPr>
        <w:spacing w:after="160" w:before="0" w:line="276"/>
      </w:pPr>
      <w:r>
        <w:rPr>
          <w:rFonts w:ascii="Arial" w:cs="Arial" w:eastAsia="Arial" w:hAnsi="Arial"/>
          <w:sz w:val="22"/>
          <w:szCs w:val="22"/>
        </w:rPr>
        <w:t xml:space="preserve">The package is further strengthened by Idaho House Concurrent Resolution 32 (HCR032), adopted March 16, 2026, which declares that energy infrastructure harming agriculture, water resources, or rural communities is inconsistent with state policy and affirms that private property rights, local land use authority, and agricultural protection are ‘paramount considerations’ in energy siting. Each document is designed to reinforce the others. The Comprehensive Plan (Chapter 10) sets policy direction. The Zoning Ordinance chapters (7 and 11) implement that direction through enforceable legal standards. The Response to the P&amp;Z Commission provides the evidentiary record that supports the Board in adopting standards stronger than those the Commission recommended. The Position Paper on Property Rights and Community Notification provides the broader policy framework—grounding the entire package in constitutional property rights principles and the democratic imperative of expanded public participation for large-scale energy and data center projects.</w:t>
      </w:r>
    </w:p>
    <w:p>
      <w:pPr>
        <w:pStyle w:val="Heading1"/>
        <w:spacing w:after="160" w:before="300"/>
      </w:pPr>
      <w:r>
        <w:rPr>
          <w:rFonts w:ascii="Arial" w:cs="Arial" w:eastAsia="Arial" w:hAnsi="Arial"/>
          <w:b/>
          <w:bCs/>
          <w:color w:val="1F3864"/>
          <w:sz w:val="28"/>
          <w:szCs w:val="28"/>
        </w:rPr>
        <w:t xml:space="preserve">Document Package — Table of Contents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3200"/>
        <w:gridCol w:w="5560"/>
      </w:tblGrid>
      <w:tr>
        <w:tc>
          <w:tcPr>
            <w:tcW w:type="dxa" w:w="600"/>
            <w:tcBorders>
              <w:top w:val="single" w:color="AAAAAA" w:sz="1"/>
              <w:left w:val="single" w:color="AAAAAA" w:sz="1"/>
              <w:bottom w:val="single" w:color="AAAAAA" w:sz="1"/>
              <w:right w:val="single" w:color="AAAAAA" w:sz="1"/>
            </w:tcBorders>
            <w:shd w:fill="1F3864" w:val="clear"/>
            <w:tcMar>
              <w:top w:type="dxa" w:w="60"/>
              <w:left w:type="dxa" w:w="120"/>
              <w:bottom w:type="dxa" w:w="60"/>
              <w:right w:type="dxa" w:w="120"/>
            </w:tcMar>
          </w:tcPr>
          <w:p>
            <w:pPr>
              <w:spacing w:after="40"/>
            </w:pPr>
            <w:r>
              <w:rPr>
                <w:rFonts w:ascii="Arial" w:cs="Arial" w:eastAsia="Arial" w:hAnsi="Arial"/>
                <w:b/>
                <w:bCs/>
                <w:i w:val="false"/>
                <w:iCs w:val="false"/>
                <w:color w:val="FFFFFF"/>
                <w:sz w:val="20"/>
                <w:szCs w:val="20"/>
              </w:rPr>
              <w:t xml:space="preserve">#</w:t>
            </w:r>
          </w:p>
        </w:tc>
        <w:tc>
          <w:tcPr>
            <w:tcW w:type="dxa" w:w="3200"/>
            <w:tcBorders>
              <w:top w:val="single" w:color="AAAAAA" w:sz="1"/>
              <w:left w:val="single" w:color="AAAAAA" w:sz="1"/>
              <w:bottom w:val="single" w:color="AAAAAA" w:sz="1"/>
              <w:right w:val="single" w:color="AAAAAA" w:sz="1"/>
            </w:tcBorders>
            <w:shd w:fill="1F3864" w:val="clear"/>
            <w:tcMar>
              <w:top w:type="dxa" w:w="60"/>
              <w:left w:type="dxa" w:w="120"/>
              <w:bottom w:type="dxa" w:w="60"/>
              <w:right w:type="dxa" w:w="120"/>
            </w:tcMar>
          </w:tcPr>
          <w:p>
            <w:pPr>
              <w:spacing w:after="40"/>
            </w:pPr>
            <w:r>
              <w:rPr>
                <w:rFonts w:ascii="Arial" w:cs="Arial" w:eastAsia="Arial" w:hAnsi="Arial"/>
                <w:b/>
                <w:bCs/>
                <w:i w:val="false"/>
                <w:iCs w:val="false"/>
                <w:color w:val="FFFFFF"/>
                <w:sz w:val="20"/>
                <w:szCs w:val="20"/>
              </w:rPr>
              <w:t xml:space="preserve">Document</w:t>
            </w:r>
          </w:p>
        </w:tc>
        <w:tc>
          <w:tcPr>
            <w:tcW w:type="dxa" w:w="5560"/>
            <w:tcBorders>
              <w:top w:val="single" w:color="AAAAAA" w:sz="1"/>
              <w:left w:val="single" w:color="AAAAAA" w:sz="1"/>
              <w:bottom w:val="single" w:color="AAAAAA" w:sz="1"/>
              <w:right w:val="single" w:color="AAAAAA" w:sz="1"/>
            </w:tcBorders>
            <w:shd w:fill="1F3864" w:val="clear"/>
            <w:tcMar>
              <w:top w:type="dxa" w:w="60"/>
              <w:left w:type="dxa" w:w="120"/>
              <w:bottom w:type="dxa" w:w="60"/>
              <w:right w:type="dxa" w:w="120"/>
            </w:tcMar>
          </w:tcPr>
          <w:p>
            <w:pPr>
              <w:spacing w:after="40"/>
            </w:pPr>
            <w:r>
              <w:rPr>
                <w:rFonts w:ascii="Arial" w:cs="Arial" w:eastAsia="Arial" w:hAnsi="Arial"/>
                <w:b/>
                <w:bCs/>
                <w:i w:val="false"/>
                <w:iCs w:val="false"/>
                <w:color w:val="FFFFFF"/>
                <w:sz w:val="20"/>
                <w:szCs w:val="20"/>
              </w:rPr>
              <w:t xml:space="preserve">Purpose</w:t>
            </w:r>
          </w:p>
        </w:tc>
      </w:tr>
      <w:tr>
        <w:tc>
          <w:tcPr>
            <w:tcW w:type="dxa" w:w="6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3</w:t>
            </w:r>
          </w:p>
        </w:tc>
        <w:tc>
          <w:tcPr>
            <w:tcW w:type="dxa" w:w="32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REVISED Chapter 10 — Utilities (Comprehensive Plan)</w:t>
            </w:r>
          </w:p>
        </w:tc>
        <w:tc>
          <w:tcPr>
            <w:tcW w:type="dxa" w:w="556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Comprehensive Plan: Establishes agricultural protection policy posture, CSPM-informed energy siting framework, and Class I/II soil prohibition as plan-level policy</w:t>
            </w:r>
          </w:p>
        </w:tc>
      </w:tr>
      <w:tr>
        <w:tc>
          <w:tcPr>
            <w:tcW w:type="dxa" w:w="6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4</w:t>
            </w:r>
          </w:p>
        </w:tc>
        <w:tc>
          <w:tcPr>
            <w:tcW w:type="dxa" w:w="32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REVISED Chapter 11 — Energy Facilities</w:t>
            </w:r>
          </w:p>
        </w:tc>
        <w:tc>
          <w:tcPr>
            <w:tcW w:type="dxa" w:w="556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Zoning Ordinance: Full tiered classification (Tier 1/2/3), objective impact standards, setbacks, noise limits, decommissioning, anti-circumvention, and enforcement</w:t>
            </w:r>
          </w:p>
        </w:tc>
      </w:tr>
      <w:tr>
        <w:tc>
          <w:tcPr>
            <w:tcW w:type="dxa" w:w="6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5</w:t>
            </w:r>
          </w:p>
        </w:tc>
        <w:tc>
          <w:tcPr>
            <w:tcW w:type="dxa" w:w="32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REVISED Chapter 7 — Conditional Use</w:t>
            </w:r>
          </w:p>
        </w:tc>
        <w:tc>
          <w:tcPr>
            <w:tcW w:type="dxa" w:w="556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Zoning Ordinance: Enhanced CUP procedures with required findings, public participation rights, enforcement, and energy-specific provisions</w:t>
            </w:r>
          </w:p>
        </w:tc>
      </w:tr>
      <w:tr>
        <w:tc>
          <w:tcPr>
            <w:tcW w:type="dxa" w:w="6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6</w:t>
            </w:r>
          </w:p>
        </w:tc>
        <w:tc>
          <w:tcPr>
            <w:tcW w:type="dxa" w:w="32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Response to P&amp;Z Recommendations</w:t>
            </w:r>
          </w:p>
        </w:tc>
        <w:tc>
          <w:tcPr>
            <w:tcW w:type="dxa" w:w="556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Formal rebuttal to Commission Findings 1, 2, 4, and 5 with 20+ footnoted citations to USDA, NRCS, PNAS, Berkeley Lab, AFT, and enacted legislation</w:t>
            </w:r>
          </w:p>
        </w:tc>
      </w:tr>
      <w:tr>
        <w:tc>
          <w:tcPr>
            <w:tcW w:type="dxa" w:w="6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7</w:t>
            </w:r>
          </w:p>
        </w:tc>
        <w:tc>
          <w:tcPr>
            <w:tcW w:type="dxa" w:w="32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Position Paper: Property Rights &amp; Community Notification</w:t>
            </w:r>
          </w:p>
        </w:tc>
        <w:tc>
          <w:tcPr>
            <w:tcW w:type="dxa" w:w="556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Policy framework establishing constitutional property rights basis, county-wide/25-mile notification for all Tier 2/3 energy and data center projects, and principled limits on the right to build</w:t>
            </w:r>
          </w:p>
        </w:tc>
      </w:tr>
      <w:tr>
        <w:tc>
          <w:tcPr>
            <w:tcW w:type="dxa" w:w="6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8</w:t>
            </w:r>
          </w:p>
        </w:tc>
        <w:tc>
          <w:tcPr>
            <w:tcW w:type="dxa" w:w="32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Position Document: Legal, Ethical &amp; Moral Justification</w:t>
            </w:r>
          </w:p>
        </w:tc>
        <w:tc>
          <w:tcPr>
            <w:tcW w:type="dxa" w:w="556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Establishes the legal authority (positive law, constitutional framework), ethical principles (non-harm, informed consent, intergenerational justice), and moral foundations (natural law, ordered liberty, stewardship) underlying the entire ordinance package</w:t>
            </w:r>
          </w:p>
        </w:tc>
      </w:tr>
      <w:tr>
        <w:tc>
          <w:tcPr>
            <w:tcW w:type="dxa" w:w="6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9</w:t>
            </w:r>
          </w:p>
        </w:tc>
        <w:tc>
          <w:tcPr>
            <w:tcW w:type="dxa" w:w="32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Position Paper: The Data Center Crisis</w:t>
            </w:r>
          </w:p>
        </w:tc>
        <w:tc>
          <w:tcPr>
            <w:tcW w:type="dxa" w:w="556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Documents how speculative data center overbuilding is creating a national crisis — $700B in projected 2026 spending, 30–50% pipeline delays, stranded asset risks, and systematic cost externalization to rural communities through higher rates, water depletion, and agricultural conversion</w:t>
            </w:r>
          </w:p>
        </w:tc>
      </w:tr>
      <w:tr>
        <w:tc>
          <w:tcPr>
            <w:tcW w:type="dxa" w:w="6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10</w:t>
            </w:r>
          </w:p>
        </w:tc>
        <w:tc>
          <w:tcPr>
            <w:tcW w:type="dxa" w:w="32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Supplement: Water Resources &amp; Utility Rate Impacts</w:t>
            </w:r>
          </w:p>
        </w:tc>
        <w:tc>
          <w:tcPr>
            <w:tcW w:type="dxa" w:w="556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Documents Idaho’s ESPA groundwater crisis, data center water consumption at scale, national utility rate increases, and state/federal legislative responses — establishing the water and infrastructure vulnerability context for the ordinance package</w:t>
            </w:r>
          </w:p>
        </w:tc>
      </w:tr>
      <w:tr>
        <w:tc>
          <w:tcPr>
            <w:tcW w:type="dxa" w:w="6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11</w:t>
            </w:r>
          </w:p>
        </w:tc>
        <w:tc>
          <w:tcPr>
            <w:tcW w:type="dxa" w:w="32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Supplement: Community Survey Evidence &amp; National Public Opinion</w:t>
            </w:r>
          </w:p>
        </w:tc>
        <w:tc>
          <w:tcPr>
            <w:tcW w:type="dxa" w:w="556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Complete JTown Beacon Community Survey results (all 10 questions) and national public opinion context — documenting that Jerome County’s concerns mirror a nationwide pattern of rural opposition to large-scale energy and data center development</w:t>
            </w:r>
          </w:p>
        </w:tc>
      </w:tr>
      <w:tr>
        <w:tc>
          <w:tcPr>
            <w:tcW w:type="dxa" w:w="6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12</w:t>
            </w:r>
          </w:p>
        </w:tc>
        <w:tc>
          <w:tcPr>
            <w:tcW w:type="dxa" w:w="32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Glossary of Definitions and Key Terms</w:t>
            </w:r>
          </w:p>
        </w:tc>
        <w:tc>
          <w:tcPr>
            <w:tcW w:type="dxa" w:w="556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Complete glossary of all legal, technical, agricultural, and regulatory terms used across the document package, organized by category</w:t>
            </w:r>
          </w:p>
        </w:tc>
      </w:tr>
      <w:tr>
        <w:tc>
          <w:tcPr>
            <w:tcW w:type="dxa" w:w="6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13</w:t>
            </w:r>
          </w:p>
        </w:tc>
        <w:tc>
          <w:tcPr>
            <w:tcW w:type="dxa" w:w="32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Summary of Sources by Category</w:t>
            </w:r>
          </w:p>
        </w:tc>
        <w:tc>
          <w:tcPr>
            <w:tcW w:type="dxa" w:w="556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Catalog of every source cited across the package — federal agencies, peer-reviewed research, state/federal legislation, county precedents, constitutional case law, utility/market data, national opinion data</w:t>
            </w:r>
          </w:p>
        </w:tc>
      </w:tr>
      <w:tr>
        <w:tc>
          <w:tcPr>
            <w:tcW w:type="dxa" w:w="6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14</w:t>
            </w:r>
          </w:p>
        </w:tc>
        <w:tc>
          <w:tcPr>
            <w:tcW w:type="dxa" w:w="32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Recipient Mailing List</w:t>
            </w:r>
          </w:p>
        </w:tc>
        <w:tc>
          <w:tcPr>
            <w:tcW w:type="dxa" w:w="556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Complete distribution list for the reform package — elected officials, county staff, state agencies, and community stakeholders</w:t>
            </w:r>
          </w:p>
        </w:tc>
      </w:tr>
      <w:tr>
        <w:tc>
          <w:tcPr>
            <w:tcW w:type="dxa" w:w="6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15</w:t>
            </w:r>
          </w:p>
        </w:tc>
        <w:tc>
          <w:tcPr>
            <w:tcW w:type="dxa" w:w="32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Legal Framework and Defensibility Analysis</w:t>
            </w:r>
          </w:p>
        </w:tc>
        <w:tc>
          <w:tcPr>
            <w:tcW w:type="dxa" w:w="556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Constitutional, statutory, and regulatory defensibility analysis for every provision in the reform package — takings, due process, preemption, Dillon’s Rule, and BESS prohibition</w:t>
            </w:r>
          </w:p>
        </w:tc>
      </w:tr>
      <w:tr>
        <w:tc>
          <w:tcPr>
            <w:tcW w:type="dxa" w:w="6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16</w:t>
            </w:r>
          </w:p>
        </w:tc>
        <w:tc>
          <w:tcPr>
            <w:tcW w:type="dxa" w:w="32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Fiscal Impact and Tax Revenue Analysis</w:t>
            </w:r>
          </w:p>
        </w:tc>
        <w:tc>
          <w:tcPr>
            <w:tcW w:type="dxa" w:w="556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Tax revenue trade-offs, stranded asset risk, utility rate impacts, PILOT/incentive analysis, and net fiscal equation comparing unrestricted development vs. reform package protections</w:t>
            </w:r>
          </w:p>
        </w:tc>
      </w:tr>
      <w:tr>
        <w:tc>
          <w:tcPr>
            <w:tcW w:type="dxa" w:w="6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17</w:t>
            </w:r>
          </w:p>
        </w:tc>
        <w:tc>
          <w:tcPr>
            <w:tcW w:type="dxa" w:w="32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bCs/>
                <w:i w:val="false"/>
                <w:iCs w:val="false"/>
                <w:sz w:val="20"/>
                <w:szCs w:val="20"/>
              </w:rPr>
              <w:t xml:space="preserve">CSPM Framework Application and Methodology</w:t>
            </w:r>
          </w:p>
        </w:tc>
        <w:tc>
          <w:tcPr>
            <w:tcW w:type="dxa" w:w="556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Application of the County Siting Posture Metric to Jerome County — 100-point structured scoring framework across six dimensions, with documented findings supporting a restrictive posture (score: 80.0)</w:t>
            </w:r>
          </w:p>
        </w:tc>
      </w:tr>
    </w:tbl>
    <w:p>
      <w:pPr>
        <w:spacing w:after="120" w:before="0" w:line="276"/>
      </w:pPr>
      <w:r>
        <w:rPr>
          <w:rFonts w:ascii="Arial" w:cs="Arial" w:eastAsia="Arial" w:hAnsi="Arial"/>
          <w:b w:val="false"/>
          <w:bCs w:val="false"/>
          <w:i w:val="false"/>
          <w:iCs w:val="false"/>
          <w:sz w:val="22"/>
          <w:szCs w:val="22"/>
        </w:rPr>
        <w:t xml:space="preserve"/>
      </w:r>
    </w:p>
    <w:p>
      <w:pPr>
        <w:pStyle w:val="Heading1"/>
        <w:spacing w:after="160" w:before="300"/>
      </w:pPr>
      <w:r>
        <w:rPr>
          <w:rFonts w:ascii="Arial" w:cs="Arial" w:eastAsia="Arial" w:hAnsi="Arial"/>
          <w:b/>
          <w:bCs/>
          <w:color w:val="1F3864"/>
          <w:sz w:val="28"/>
          <w:szCs w:val="28"/>
        </w:rPr>
        <w:t xml:space="preserve">Document 1: REVISED Chapter 7 — Conditional Use</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1. Chapter_7_Conditional_Use-03222026_v5.docx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revised Chapter 7 transforms Jerome County's Conditional Use Permit (CUP) procedures into a robust framework for protecting agricultural land and ensuring public participation in energy facility decisions. It establishes clear required findings that the County must make before approving large-scale projects, including explicit protections for prime agricultural soils, water resources, and rural character.</w:t>
      </w:r>
    </w:p>
    <w:p>
      <w:pPr>
        <w:pStyle w:val="Heading2"/>
        <w:spacing w:after="120" w:before="200"/>
      </w:pPr>
      <w:r>
        <w:rPr>
          <w:rFonts w:ascii="Arial" w:cs="Arial" w:eastAsia="Arial" w:hAnsi="Arial"/>
          <w:b/>
          <w:bCs/>
          <w:color w:val="2E75B6"/>
          <w:sz w:val="24"/>
          <w:szCs w:val="24"/>
        </w:rPr>
        <w:t xml:space="preserve">Key Provisions</w:t>
      </w:r>
    </w:p>
    <w:p>
      <w:pPr>
        <w:spacing w:after="160" w:before="0" w:line="276"/>
      </w:pPr>
      <w:r>
        <w:rPr>
          <w:rFonts w:ascii="Arial" w:cs="Arial" w:eastAsia="Arial" w:hAnsi="Arial"/>
          <w:b w:val="false"/>
          <w:bCs w:val="false"/>
          <w:i w:val="false"/>
          <w:iCs w:val="false"/>
          <w:sz w:val="22"/>
          <w:szCs w:val="22"/>
        </w:rPr>
        <w:t xml:space="preserve">Enhanced CUP procedures require applicants to demonstrate that projects (1) will not materially harm agricultural productivity on prime soils, (2) are necessary to serve local needs or fit within regional infrastructure plans, (3) include mitigation measures addressing documented impacts, and (4) provide for ongoing community notification and enforcement. A new 'Required Findings' section gives the County Commission an explicit legal standard for review. For energy projects specifically, the ordinance requires an agricultural impact assessment, identification of alternative sites, water availability verification, and a decommissioning and restoration plan with financial assurance at 150% of removal costs. Public notice is expanded to all properties within 500 feet (residential) and 1 mile (agricultural zones) and must include a summary of major conditions and impact mitigation measures.</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Chapter 7 provides the procedural framework that brings Chapters 10 and 11 policies into real-world application. When an applicant applies for a CUP to build an energy facility, Chapter 7's required findings force the County to evaluate the project against explicit standards rooted in Chapter 10's comprehensive plan policy and Chapter 11's objective impact standards. The expansion of public notice rights directly reflects the Position Paper on Property Rights and Community Notification. The required agricultural impact assessment and alternatives analysis connect to the evidence presented in the Response to P&amp;Z Recommendations.</w:t>
      </w:r>
    </w:p>
    <w:p>
      <w:pPr>
        <w:pStyle w:val="Heading1"/>
        <w:spacing w:after="160" w:before="300"/>
      </w:pPr>
      <w:r>
        <w:rPr>
          <w:rFonts w:ascii="Arial" w:cs="Arial" w:eastAsia="Arial" w:hAnsi="Arial"/>
          <w:b/>
          <w:bCs/>
          <w:color w:val="1F3864"/>
          <w:sz w:val="28"/>
          <w:szCs w:val="28"/>
        </w:rPr>
        <w:t xml:space="preserve">Document 2: REVISED Chapter 10 — Utilities &amp; Comprehensive Plan</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3. Chapter_10_Utilities_Comprehensive_Plan-03222026_v5.docx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revised Chapter 10 establishes Jerome County's comprehensive plan policy framework for energy siting and agricultural protection. It moves beyond passive acceptance of energy development to proactive policy that prioritizes agricultural protection, aligns with the Conservation Security and Preservation Management (CSPM) framework used by the USDA and NRCS, and incorporates findings from Idaho HCR032 into county policy.</w:t>
      </w:r>
    </w:p>
    <w:p>
      <w:pPr>
        <w:pStyle w:val="Heading2"/>
        <w:spacing w:after="120" w:before="200"/>
      </w:pPr>
      <w:r>
        <w:rPr>
          <w:rFonts w:ascii="Arial" w:cs="Arial" w:eastAsia="Arial" w:hAnsi="Arial"/>
          <w:b/>
          <w:bCs/>
          <w:color w:val="2E75B6"/>
          <w:sz w:val="24"/>
          <w:szCs w:val="24"/>
        </w:rPr>
        <w:t xml:space="preserve">Key Provisions</w:t>
      </w:r>
    </w:p>
    <w:p>
      <w:pPr>
        <w:spacing w:after="160" w:before="0" w:line="276"/>
      </w:pPr>
      <w:r>
        <w:rPr>
          <w:rFonts w:ascii="Arial" w:cs="Arial" w:eastAsia="Arial" w:hAnsi="Arial"/>
          <w:b w:val="false"/>
          <w:bCs w:val="false"/>
          <w:i w:val="false"/>
          <w:iCs w:val="false"/>
          <w:sz w:val="22"/>
          <w:szCs w:val="22"/>
        </w:rPr>
        <w:t xml:space="preserve">Chapter 10 establishes that Jerome County's primary energy siting policy is: (1) Class I and Class II agricultural soils are categorically prohibited for large-scale energy facilities; (2) energy facility siting should follow the CSPM framework, which prioritizes protection of high-value agricultural land, water resources, and ecosystem services; (3) state law alignment requires considering impacts on agriculture, water, and rural communities as 'paramount'; (4) data center facilities must demonstrate benefit to Idaho ratepayers and must not externalize costs onto local communities; (5) developer notification requirements extend county-wide and 25 miles beyond county borders for projects over 25 MW; and (6) the comprehensive plan is updated to define 'agricultural protection' as a primary planning objective alongside public health, safety, and welfare.</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Chapter 10 is the policy anchor for the entire ordinance package. It establishes the 'why'—the policy direction—while Chapters 7 and 11 establish the 'how'—the enforceable procedures and standards. The Response to P&amp;Z Recommendations provides the evidentiary support for the policy choices made in Chapter 10. The CSPM framework and the agricultural soil protections connect directly to the sources cited in the Sources document and to the national pattern of agricultural land conversion documented in the Position Paper on the Data Center Crisis.</w:t>
      </w:r>
    </w:p>
    <w:p>
      <w:pPr>
        <w:pStyle w:val="Heading1"/>
        <w:spacing w:after="160" w:before="300"/>
      </w:pPr>
      <w:r>
        <w:rPr>
          <w:rFonts w:ascii="Arial" w:cs="Arial" w:eastAsia="Arial" w:hAnsi="Arial"/>
          <w:b/>
          <w:bCs/>
          <w:color w:val="1F3864"/>
          <w:sz w:val="28"/>
          <w:szCs w:val="28"/>
        </w:rPr>
        <w:t xml:space="preserve">Document 3: REVISED Chapter 11 — Energy Facilities</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4. Chapter_11_Energy_Facilities-03222026_v5.docx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revised Chapter 11 is the operational heart of the ordinance package. It establishes a comprehensive, tiered classification system for all energy facilities (solar, wind, battery storage, data centers) based on capacity and location, with objective impact standards covering 11 categories of impacts: noise, setbacks, property value, water, shadow/flicker, traffic, electromagnetic fields, decommissioning, anti-circumvention, general welfare, and enforcement mechanisms.</w:t>
      </w:r>
    </w:p>
    <w:p>
      <w:pPr>
        <w:pStyle w:val="Heading2"/>
        <w:spacing w:after="120" w:before="200"/>
      </w:pPr>
      <w:r>
        <w:rPr>
          <w:rFonts w:ascii="Arial" w:cs="Arial" w:eastAsia="Arial" w:hAnsi="Arial"/>
          <w:b/>
          <w:bCs/>
          <w:color w:val="2E75B6"/>
          <w:sz w:val="24"/>
          <w:szCs w:val="24"/>
        </w:rPr>
        <w:t xml:space="preserve">Key Provisions</w:t>
      </w:r>
    </w:p>
    <w:p>
      <w:pPr>
        <w:spacing w:after="160" w:before="0" w:line="276"/>
      </w:pPr>
      <w:r>
        <w:rPr>
          <w:rFonts w:ascii="Arial" w:cs="Arial" w:eastAsia="Arial" w:hAnsi="Arial"/>
          <w:b w:val="false"/>
          <w:bCs w:val="false"/>
          <w:i w:val="false"/>
          <w:iCs w:val="false"/>
          <w:sz w:val="22"/>
          <w:szCs w:val="22"/>
        </w:rPr>
        <w:t xml:space="preserve">Chapter 11 establishes three tiers: Tier 1 (under 50 kW, minimal standards), Tier 2 (50 kW–25 MW, moderate standards), and Tier 3 (over 25 MW, maximum protection). For Tier 2 and 3 facilities, the ordinance establishes: setback minimums (1.5x height for residential, 2x height for sensitive uses), noise limits (45 dB at property line day/night), property value impact mitigation (title notice on adjacent properties), water use impact mitigation (water availability verification and impact assessments), shadow/flicker studies for solar, electromagnetic field disclosure, transportation impact assessments, and decommissioning financial assurance at 150% of verified removal costs. An anti-circumvention clause prevents developers from splitting large projects into multiple small projects to avoid Tier 2/3 standards. Data center facilities are treated as Tier 3 regardless of nameplate capacity. General welfare language is outcome-based: projects must demonstrably benefit Jerome County residents and not externalize costs to the community.</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Chapter 11 operationalizes the policy and procedures of Chapters 10 and 7. The tiered approach allows flexibility for small projects while providing robust protection for large-scale industrial energy development. The 11 impact categories are derived from peer-reviewed research, documented community concerns (JTown Beacon Survey), and precedent from other jurisdictions (Bannock County, Maryland counties). The anti-circumvention clause prevents the common practice of splitting large projects. The decommissioning standard (150%) matches Boone County, Indiana precedent and ensures that the County, not taxpayers, bears the cost of site restoration.</w:t>
      </w:r>
    </w:p>
    <w:p>
      <w:pPr>
        <w:pStyle w:val="Heading1"/>
        <w:spacing w:after="160" w:before="300"/>
      </w:pPr>
      <w:r>
        <w:rPr>
          <w:rFonts w:ascii="Arial" w:cs="Arial" w:eastAsia="Arial" w:hAnsi="Arial"/>
          <w:b/>
          <w:bCs/>
          <w:color w:val="1F3864"/>
          <w:sz w:val="28"/>
          <w:szCs w:val="28"/>
        </w:rPr>
        <w:t xml:space="preserve">Document 4: Response to P&amp;Z Recommendations</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5. Response_to_PZ_Recommendations-03222026_v5.docx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document provides the formal, evidentiary response to the P&amp;Z Commission's recommendations from February 23, 2026. It focuses on Findings 1, 2, 4, and 5—the findings where the County Commission should adopt stronger standards than those recommended by the Commission. Each response is supported by 20+ footnoted citations to federal agencies, peer-reviewed research, state legislation, and county precedents.</w:t>
      </w:r>
    </w:p>
    <w:p>
      <w:pPr>
        <w:pStyle w:val="Heading2"/>
        <w:spacing w:after="120" w:before="200"/>
      </w:pPr>
      <w:r>
        <w:rPr>
          <w:rFonts w:ascii="Arial" w:cs="Arial" w:eastAsia="Arial" w:hAnsi="Arial"/>
          <w:b/>
          <w:bCs/>
          <w:color w:val="2E75B6"/>
          <w:sz w:val="24"/>
          <w:szCs w:val="24"/>
        </w:rPr>
        <w:t xml:space="preserve">Key Evidence</w:t>
      </w:r>
    </w:p>
    <w:p>
      <w:pPr>
        <w:spacing w:after="160" w:before="0" w:line="276"/>
      </w:pPr>
      <w:r>
        <w:rPr>
          <w:rFonts w:ascii="Arial" w:cs="Arial" w:eastAsia="Arial" w:hAnsi="Arial"/>
          <w:b w:val="false"/>
          <w:bCs w:val="false"/>
          <w:i w:val="false"/>
          <w:iCs w:val="false"/>
          <w:sz w:val="22"/>
          <w:szCs w:val="22"/>
        </w:rPr>
        <w:t xml:space="preserve">Finding 1 (property value impact): Hoen et al. (PNAS 2025, Berkeley Lab 2023) documents 4.8% property value decline within 1 mile of utility-scale solar. For Finding 2 (agricultural impacts): USDA NRCS conservation guidance and research from North Carolina State University and Welsh Government establish soil compaction, erosion, and recovery timescales of 18–30 years. For Finding 4 (water impacts): IDWR shortfall determinations establish that the ESPA is already in deficit with zero margin for new large-scale industrial water demand; data center consumption can reach 5 million gallons per day. For Finding 5 (regulatory framework): Bannock County's solar/wind ban, Maryland county precedents, and Idaho HCR032 establish that strong agricultural protection through land use ordinance is consistent with state policy and established practice.</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The Response to P&amp;Z provides the evidentiary foundation for every standard in Chapters 7, 10, and 11. It integrates the JTown Beacon Survey (showing 93.8% community support for agricultural protection), HCR032 (establishing state-level policy alignment), and the peer-reviewed research catalog in the Sources document. The response directly addresses the P&amp;Z Commission's findings and explains why stronger standards are legally justified, scientifically sound, and consistent with community values.</w:t>
      </w:r>
    </w:p>
    <w:p>
      <w:pPr>
        <w:pStyle w:val="Heading1"/>
        <w:spacing w:after="160" w:before="300"/>
      </w:pPr>
      <w:r>
        <w:rPr>
          <w:rFonts w:ascii="Arial" w:cs="Arial" w:eastAsia="Arial" w:hAnsi="Arial"/>
          <w:b/>
          <w:bCs/>
          <w:color w:val="1F3864"/>
          <w:sz w:val="28"/>
          <w:szCs w:val="28"/>
        </w:rPr>
        <w:t xml:space="preserve">Document 5: Position Paper — Property Rights &amp; Community Notification</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6. Position_Paper_Property_Rights-03222026_v5.docx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position paper establishes the constitutional and policy foundations for the entire ordinance package. It grounded the package in property rights principles—both the property rights of existing residents to be protected from harm and the property rights of developers to be subject to reasonable land use regulation. It explains why community notification is not a 'burden' on developers but a fundamental democratic requirement.</w:t>
      </w:r>
    </w:p>
    <w:p>
      <w:pPr>
        <w:pStyle w:val="Heading2"/>
        <w:spacing w:after="120" w:before="200"/>
      </w:pPr>
      <w:r>
        <w:rPr>
          <w:rFonts w:ascii="Arial" w:cs="Arial" w:eastAsia="Arial" w:hAnsi="Arial"/>
          <w:b/>
          <w:bCs/>
          <w:color w:val="2E75B6"/>
          <w:sz w:val="24"/>
          <w:szCs w:val="24"/>
        </w:rPr>
        <w:t xml:space="preserve">Key Arguments</w:t>
      </w:r>
    </w:p>
    <w:p>
      <w:pPr>
        <w:spacing w:after="160" w:before="0" w:line="276"/>
      </w:pPr>
      <w:r>
        <w:rPr>
          <w:rFonts w:ascii="Arial" w:cs="Arial" w:eastAsia="Arial" w:hAnsi="Arial"/>
          <w:b w:val="false"/>
          <w:bCs w:val="false"/>
          <w:i w:val="false"/>
          <w:iCs w:val="false"/>
          <w:sz w:val="22"/>
          <w:szCs w:val="22"/>
        </w:rPr>
        <w:t xml:space="preserve">The paper establishes that private property rights are not absolute; they exist within a framework of mutual obligation. The common law maxim 'sic utere tuo ut alienum non laedas' ('use your own property so as not to harm another's') is foundational to all land use regulation. A property owner has no vested right in maximizing the economic extraction of property (Penn Central; Dolan). County-wide notification for large-scale energy projects is consistent with the nexus and rough proportionality standards established in Nollan and Dolan: large projects create costs to the community (water depletion, infrastructure strain, property value impacts, emergency services), and notification is proportional to those impacts. The paper further establishes that the current narrow notification radius (typically 300 feet) is inadequate because energy facility impacts extend 1–3 miles (property value), involve regional water resources (ESPA extends across the region), and affect rural character across the entire county. Expanding notification to 25 miles for projects over 25 MW is justified by documented impact ranges.</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This position paper provides the philosophical and constitutional backbone for the practical standards in Chapters 7, 11, and the Zoning Ordinance. It directly addresses the political pushback that ordinances like these sometimes face ('Why should we restrict property rights?') by establishing that property rights and land use regulation are not opposed but complementary. The paper cites the same constitutional authorities (Penn Central, Dolan, Nollan) that a court would use if the ordinance were challenged. The discussion of notification connects to the JTown Beacon Survey results showing 90.8% community support for county-wide notification.</w:t>
      </w:r>
    </w:p>
    <w:p>
      <w:pPr>
        <w:pStyle w:val="Heading1"/>
        <w:spacing w:after="160" w:before="300"/>
      </w:pPr>
      <w:r>
        <w:rPr>
          <w:rFonts w:ascii="Arial" w:cs="Arial" w:eastAsia="Arial" w:hAnsi="Arial"/>
          <w:b/>
          <w:bCs/>
          <w:color w:val="1F3864"/>
          <w:sz w:val="28"/>
          <w:szCs w:val="28"/>
        </w:rPr>
        <w:t xml:space="preserve">Document 6: Position Document — Legal, Ethical &amp; Moral Justification</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7. Legal_Ethical_Moral_Justification-03222026_v5.docx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position document provides a comprehensive three-dimensional justification for the ordinance package: the legal dimension (constitutional law and statutory authority), the ethical dimension (principles of non-harm, informed consent, and intergenerational justice), and the moral dimension (natural law, ordered liberty, and stewardship). It establishes that the ordinance package is not merely technically sound but morally coherent.</w:t>
      </w:r>
    </w:p>
    <w:p>
      <w:pPr>
        <w:pStyle w:val="Heading2"/>
        <w:spacing w:after="120" w:before="200"/>
      </w:pPr>
      <w:r>
        <w:rPr>
          <w:rFonts w:ascii="Arial" w:cs="Arial" w:eastAsia="Arial" w:hAnsi="Arial"/>
          <w:b/>
          <w:bCs/>
          <w:color w:val="2E75B6"/>
          <w:sz w:val="24"/>
          <w:szCs w:val="24"/>
        </w:rPr>
        <w:t xml:space="preserve">Key Arguments</w:t>
      </w:r>
    </w:p>
    <w:p>
      <w:pPr>
        <w:spacing w:after="160" w:before="0" w:line="276"/>
      </w:pPr>
      <w:r>
        <w:rPr>
          <w:rFonts w:ascii="Arial" w:cs="Arial" w:eastAsia="Arial" w:hAnsi="Arial"/>
          <w:b w:val="false"/>
          <w:bCs w:val="false"/>
          <w:i w:val="false"/>
          <w:iCs w:val="false"/>
          <w:sz w:val="22"/>
          <w:szCs w:val="22"/>
        </w:rPr>
        <w:t xml:space="preserve">The Legal dimension establishes: (1) positive law—state enabling statutes (Idaho Code 67-6501 et seq.) authorize counties to adopt zoning ordinances and comprehensive plans; (2) constitutional framework—the Fifth Amendment takings clause, the equal protection and due process clauses, and the Declaration of Independence's assertion that government exists to secure natural rights; (3) land use regulation precedent—Euclid v. Ambler established zoning as a valid police power exercise. The Ethical dimension establishes three core principles: (1) non-harm—the principle that people should not cause harm to others, especially not for profit; (2) informed consent—the principle that those affected by decisions should have genuine opportunity to participate in making them; (3) intergenerational justice—the principle that current decisions should not foreclose options for future generations. The Moral dimension establishes: (1) natural law—the idea that justice derives from inherent human dignity and natural order, not merely from positive law; (2) ordered liberty—the Palko principle that freedom exists within a framework of mutual obligation; (3) stewardship—the principle that those entrusted with control of land should exercise that control in service to the community and future generations.</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This position document provides the deepest context for why the ordinance package matters. It moves beyond technical/legal arguments to address the fundamental question: 'What kind of community does Jerome County want to be?' It establishes that protecting agricultural land and limiting extractive energy development is not about restricting economic activity but about maintaining conditions for human flourishing. The document cites natural law and constitutional sources that connect the ordinance to fundamental American principles.</w:t>
      </w:r>
    </w:p>
    <w:p>
      <w:pPr>
        <w:pStyle w:val="Heading1"/>
        <w:spacing w:after="160" w:before="300"/>
      </w:pPr>
      <w:r>
        <w:rPr>
          <w:rFonts w:ascii="Arial" w:cs="Arial" w:eastAsia="Arial" w:hAnsi="Arial"/>
          <w:b/>
          <w:bCs/>
          <w:color w:val="1F3864"/>
          <w:sz w:val="28"/>
          <w:szCs w:val="28"/>
        </w:rPr>
        <w:t xml:space="preserve">Document 7: Position Paper — The Data Center Crisis</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8. Data_Center_Crisis_Position_Paper-03222026_v5.docx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position paper documents the national data center bubble and speculative overbuilding crisis. It establishes that the promises made by data center developers (massive tax revenue, high-quality jobs, economic transformation) are not supported by actual data, and that communities that host data centers typically experience cost externalization rather than net benefit.</w:t>
      </w:r>
    </w:p>
    <w:p>
      <w:pPr>
        <w:pStyle w:val="Heading2"/>
        <w:spacing w:after="120" w:before="200"/>
      </w:pPr>
      <w:r>
        <w:rPr>
          <w:rFonts w:ascii="Arial" w:cs="Arial" w:eastAsia="Arial" w:hAnsi="Arial"/>
          <w:b/>
          <w:bCs/>
          <w:color w:val="2E75B6"/>
          <w:sz w:val="24"/>
          <w:szCs w:val="24"/>
        </w:rPr>
        <w:t xml:space="preserve">Key Evidence</w:t>
      </w:r>
    </w:p>
    <w:p>
      <w:pPr>
        <w:spacing w:after="160" w:before="0" w:line="276"/>
      </w:pPr>
      <w:r>
        <w:rPr>
          <w:rFonts w:ascii="Arial" w:cs="Arial" w:eastAsia="Arial" w:hAnsi="Arial"/>
          <w:b w:val="false"/>
          <w:bCs w:val="false"/>
          <w:i w:val="false"/>
          <w:iCs w:val="false"/>
          <w:sz w:val="22"/>
          <w:szCs w:val="22"/>
        </w:rPr>
        <w:t xml:space="preserve">Goldman Sachs projects $700 billion in AI buildout spending by four hyperscalers in 2026, with CEO David Solomon acknowledging that 'a lot of capital deployed won't deliver returns.' The industry is characterized by overbuilding, speculative capital, resource extraction, techno-utopian marketing, hollow applications, and stranded asset risk. Sightline Climate analysis shows that 30–50% of announced 2026 data center pipeline is unlikely to come online; 11 GW shows no signs of construction. Meanwhile, electricity costs are rising: utilities requested $31 billion in rate increases in 2025 (double 2024), and Goldman Sachs projects 6% consumer electricity inflation 2026–2027. In rural areas, a 12 MW data center creates approximately 20 jobs—a public cost per job exceeding $1–2M when infrastructure costs are included. Stranded asset risk is high: if the data center bubble bursts, the facility is economically worthless and becomes a long-term liability.</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This position paper provides essential context for understanding why the ordinance package focuses so heavily on data center regulation. It establishes that the common argument 'We can't regulate data centers; we'll lose out to other counties' is based on a misconception: data center development is so overbuilt that 30–50% of announced projects won't happen regardless. Jerome County is not 'losing' projects if it declines to host them; those projects are likely to be cancelled anyway. The paper further establishes that permitting a data center for speculative promise of jobs and tax revenue—when the evidence shows high risk of stranded assets and cost externalization—is irrational. The ordinance package is designed to allow beneficial data center development while preventing harmful speculative overbuilding.</w:t>
      </w:r>
    </w:p>
    <w:p>
      <w:pPr>
        <w:pStyle w:val="Heading1"/>
        <w:spacing w:after="160" w:before="300"/>
      </w:pPr>
      <w:r>
        <w:rPr>
          <w:rFonts w:ascii="Arial" w:cs="Arial" w:eastAsia="Arial" w:hAnsi="Arial"/>
          <w:b/>
          <w:bCs/>
          <w:color w:val="1F3864"/>
          <w:sz w:val="28"/>
          <w:szCs w:val="28"/>
        </w:rPr>
        <w:t xml:space="preserve">Document 8: Supplement — Water Resources &amp; Utility Rate Impacts</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9. Water_Utilities_Supplement-03222026_v5.docx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supplement documents the Eastern Snake Plain Aquifer (ESPA) water crisis in Idaho and establishes the national pattern of utility rate increases caused by data center development. It provides the technical and regulatory context for water-related provisions in Chapters 7, 10, and 11.</w:t>
      </w:r>
    </w:p>
    <w:p>
      <w:pPr>
        <w:pStyle w:val="Heading2"/>
        <w:spacing w:after="120" w:before="200"/>
      </w:pPr>
      <w:r>
        <w:rPr>
          <w:rFonts w:ascii="Arial" w:cs="Arial" w:eastAsia="Arial" w:hAnsi="Arial"/>
          <w:b/>
          <w:bCs/>
          <w:color w:val="2E75B6"/>
          <w:sz w:val="24"/>
          <w:szCs w:val="24"/>
        </w:rPr>
        <w:t xml:space="preserve">Key Evidence</w:t>
      </w:r>
    </w:p>
    <w:p>
      <w:pPr>
        <w:spacing w:after="160" w:before="0" w:line="276"/>
      </w:pPr>
      <w:r>
        <w:rPr>
          <w:rFonts w:ascii="Arial" w:cs="Arial" w:eastAsia="Arial" w:hAnsi="Arial"/>
          <w:b w:val="false"/>
          <w:bCs w:val="false"/>
          <w:i w:val="false"/>
          <w:iCs w:val="false"/>
          <w:sz w:val="22"/>
          <w:szCs w:val="22"/>
        </w:rPr>
        <w:t xml:space="preserve">The Idaho Department of Water Resources identified a 75,300 acre-foot shortfall in the ESPA by July 2025, with curtailment ordered for all junior groundwater rights after October 11, 1900—the earliest cutoff date ever established. The aquifer is in structural deficit with no margin for new large-scale industrial demand. A single data center can consume 5 million gallons per day. Meanwhile, utilities nationwide are requesting massive rate increases: S&amp;P Global found $29 billion in rate increase requests in the first half of 2025 alone (double the prior year). In Virginia, data center demand contributed substantially to electricity price increases of up to 267% over five years. The PJM Interconnection's 2025–26 capacity market shows data centers accounted for estimated $9.3 billion price increase, with residential bills rising $16–18/month in affected states. Over 60 pieces of data center legislation were introduced across 22 states in 2025, most focused on ratepayer protection, water use disclosure, or moratoriums.</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The Water Supplement provides technical support for the environmental and infrastructure impact standards in Chapters 7 and 11. It establishes why water use verification (Chapter 7 requirement) and water impact assessments (Chapter 11 requirement) are not excessive but necessary. The supplement also establishes that Jerome County is not alone in facing this crisis: 22 states are actively legislating data center impacts, and the ESPA crisis is a known constraint that must be considered in any land use decision.</w:t>
      </w:r>
    </w:p>
    <w:p>
      <w:pPr>
        <w:pStyle w:val="Heading1"/>
        <w:spacing w:after="160" w:before="300"/>
      </w:pPr>
      <w:r>
        <w:rPr>
          <w:rFonts w:ascii="Arial" w:cs="Arial" w:eastAsia="Arial" w:hAnsi="Arial"/>
          <w:b/>
          <w:bCs/>
          <w:color w:val="1F3864"/>
          <w:sz w:val="28"/>
          <w:szCs w:val="28"/>
        </w:rPr>
        <w:t xml:space="preserve">Document 9: Supplement — Community Survey &amp; National Public Opinion</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10. Survey_Public_Opinion_Supplement-03222026_v5.docx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supplement documents the complete JTown Beacon Community Survey (all 10 questions) and establishes that Jerome County's concerns about energy facility siting mirror a nationwide pattern of rural opposition to large-scale energy and data center development. It provides direct evidence that community support for the ordinance package is not isolated but part of a national movement.</w:t>
      </w:r>
    </w:p>
    <w:p>
      <w:pPr>
        <w:pStyle w:val="Heading2"/>
        <w:spacing w:after="120" w:before="200"/>
      </w:pPr>
      <w:r>
        <w:rPr>
          <w:rFonts w:ascii="Arial" w:cs="Arial" w:eastAsia="Arial" w:hAnsi="Arial"/>
          <w:b/>
          <w:bCs/>
          <w:color w:val="2E75B6"/>
          <w:sz w:val="24"/>
          <w:szCs w:val="24"/>
        </w:rPr>
        <w:t xml:space="preserve">Key Evidence</w:t>
      </w:r>
    </w:p>
    <w:p>
      <w:pPr>
        <w:spacing w:after="160" w:before="0" w:line="276"/>
      </w:pPr>
      <w:r>
        <w:rPr>
          <w:rFonts w:ascii="Arial" w:cs="Arial" w:eastAsia="Arial" w:hAnsi="Arial"/>
          <w:b w:val="false"/>
          <w:bCs w:val="false"/>
          <w:i w:val="false"/>
          <w:iCs w:val="false"/>
          <w:sz w:val="22"/>
          <w:szCs w:val="22"/>
        </w:rPr>
        <w:t xml:space="preserve">The JTown Beacon Survey (March 2026, 65 respondents) shows: 93.8% rate agricultural preservation as important/extremely important; 93.7% oppose large-scale energy in agricultural zones; 49.2% support small-scale on-site in ag zones, 29.2% oppose; 92.3% concerned about battery storage safety; 90.8% support county-wide notification; 90.8% rate decommissioning assurance as extremely important; 87.7% say development should be limited to protect farmland; 80% say current approach needs significant revision. This data is contextualized within national polling: Pew Research (June 2024) found rural residents more skeptical of renewable development than urban residents; AP-NORC (June 2025) documents significant decline in offshore wind support (59% to 44%). Data Center Watch tracks $64 billion in blocked/delayed projects since mid-2024; 117 renewable energy projects rejected nationwide in 2024 (39 wind, 78 solar); at least 188 organized opposition groups span 40 states; 14+ states enacted or proposed moratoriums.</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The Survey Supplement documents that the ordinance package reflects genuine community values, not outside agitation. The 90.8% support for county-wide notification, the 93.8% support for agricultural protection, and the 80% statement that current approach needs revision are powerful evidence that the County Commission is responding to community preferences when it adopts ordinances based on this package. The national data further establishes that Jerome County is part of a nationwide pattern: rural communities are rejecting large-scale energy development on agricultural land, and legislators/regulators are responding with stronger protections.</w:t>
      </w:r>
    </w:p>
    <w:p>
      <w:pPr>
        <w:pStyle w:val="Heading1"/>
        <w:spacing w:after="160" w:before="300"/>
      </w:pPr>
      <w:r>
        <w:rPr>
          <w:rFonts w:ascii="Arial" w:cs="Arial" w:eastAsia="Arial" w:hAnsi="Arial"/>
          <w:b/>
          <w:bCs/>
          <w:color w:val="1F3864"/>
          <w:sz w:val="28"/>
          <w:szCs w:val="28"/>
        </w:rPr>
        <w:t xml:space="preserve">Document 10: Glossary of Definitions and Key Terms</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11. Glossary_of_Definitions-03222026_v5.docx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glossary defines every legal, technical, agricultural, and regulatory term used across the ordinance package. It ensures that all parties—County Commissioners, applicants, attorney, community members—are working from a shared understanding of key concepts.</w:t>
      </w:r>
    </w:p>
    <w:p>
      <w:pPr>
        <w:pStyle w:val="Heading2"/>
        <w:spacing w:after="120" w:before="200"/>
      </w:pPr>
      <w:r>
        <w:rPr>
          <w:rFonts w:ascii="Arial" w:cs="Arial" w:eastAsia="Arial" w:hAnsi="Arial"/>
          <w:b/>
          <w:bCs/>
          <w:color w:val="2E75B6"/>
          <w:sz w:val="24"/>
          <w:szCs w:val="24"/>
        </w:rPr>
        <w:t xml:space="preserve">Key Categories</w:t>
      </w:r>
    </w:p>
    <w:p>
      <w:pPr>
        <w:spacing w:after="160" w:before="0" w:line="276"/>
      </w:pPr>
      <w:r>
        <w:rPr>
          <w:rFonts w:ascii="Arial" w:cs="Arial" w:eastAsia="Arial" w:hAnsi="Arial"/>
          <w:b w:val="false"/>
          <w:bCs w:val="false"/>
          <w:i w:val="false"/>
          <w:iCs w:val="false"/>
          <w:sz w:val="22"/>
          <w:szCs w:val="22"/>
        </w:rPr>
        <w:t xml:space="preserve">The glossary includes 8+ categories: (1) Agricultural terms (prime agricultural soils, Class I/II soils, USDA soil classification, irreversible conversion, agricultural impact assessment); (2) Energy facility terms (Tier 1/2/3, nameplate capacity, rated output, anti-circumvention, decommissioning, renewable energy facility, energy storage facility, data center); (3) Environmental/water terms (ESPA, acre-foot, water impact assessment, groundwater, surface water, water availability); (4) Regulatory/procedural terms (Conditional Use Permit, required findings, mitigation measure, notice radius, neighboring property); (5) Impact assessment terms (noise, setback, property value, flicker, shadow), and more. Each definition is precise enough for legal and regulatory use while remaining accessible.</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The Glossary ensures legal certainty and prevents disputes about interpretation. When the ordinance says 'large-scale energy facility,' the glossary defines it. When a mitigation measure refers to 'agricultural impact assessment,' the glossary defines what that means. This prevents years of litigation over definitional disputes.</w:t>
      </w:r>
    </w:p>
    <w:p>
      <w:pPr>
        <w:pStyle w:val="Heading1"/>
        <w:spacing w:after="160" w:before="300"/>
      </w:pPr>
      <w:r>
        <w:rPr>
          <w:rFonts w:ascii="Arial" w:cs="Arial" w:eastAsia="Arial" w:hAnsi="Arial"/>
          <w:b/>
          <w:bCs/>
          <w:color w:val="1F3864"/>
          <w:sz w:val="28"/>
          <w:szCs w:val="28"/>
        </w:rPr>
        <w:t xml:space="preserve">Document 11: Summary of Sources by Category</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12. Sources_by_Category-03222026_v5.docx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document catalogs every source cited across the entire package. It is organized by 11 categories: federal agencies, peer-reviewed research, state legislation, county-level precedents, constitutional case law, utility/market data, water resources, community survey data, national public opinion, data center crisis research, and natural law/legal philosophy. Each entry identifies the source, what it establishes, and where it is cited across the package.</w:t>
      </w:r>
    </w:p>
    <w:p>
      <w:pPr>
        <w:pStyle w:val="Heading2"/>
        <w:spacing w:after="120" w:before="200"/>
      </w:pPr>
      <w:r>
        <w:rPr>
          <w:rFonts w:ascii="Arial" w:cs="Arial" w:eastAsia="Arial" w:hAnsi="Arial"/>
          <w:b/>
          <w:bCs/>
          <w:color w:val="2E75B6"/>
          <w:sz w:val="24"/>
          <w:szCs w:val="24"/>
        </w:rPr>
        <w:t xml:space="preserve">Key Authorities</w:t>
      </w:r>
    </w:p>
    <w:p>
      <w:pPr>
        <w:spacing w:after="160" w:before="0" w:line="276"/>
      </w:pPr>
      <w:r>
        <w:rPr>
          <w:rFonts w:ascii="Arial" w:cs="Arial" w:eastAsia="Arial" w:hAnsi="Arial"/>
          <w:b w:val="false"/>
          <w:bCs w:val="false"/>
          <w:i w:val="false"/>
          <w:iCs w:val="false"/>
          <w:sz w:val="22"/>
          <w:szCs w:val="22"/>
        </w:rPr>
        <w:t xml:space="preserve">Federal: USDA NRCS conservation guidance, EPA RE-Powering America's Land Initiative (190,000+ acres of pre-screened disturbed land), Congressional Research Service data center study, U.S. EIA electricity price data. Research: Hoen et al. (PNAS 2025, Berkeley Lab) property value impacts, NC State/Welsh Government soil recovery research, American Farmland Trust, George Mason University data center analysis. State/County: Idaho SB 1133 (solar/wind ban on APAs), Idaho HCR032 (energy sovereignty resolution), Bannock County solar/wind ban, Maryland county soil protections. Constitutional: Euclid v. Ambler (zoning authority), Penn Central (takings), Nollan/Dolan (nexus and rough proportionality). Data: Virginia SCC rate increases, S&amp;P Global rate increase tracking, PJM capacity market data, Brookings water impact analysis. Natural Law: Locke, Declaration of Independence, Palko (ordered liberty), maxim 'sic utere tuo ut alienum non laedas.'</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The Sources document is the credibility foundation for the entire package. Every claim made in Chapters 7, 10, 11, and the position papers is sourced. This makes the package defensible: if challenged, the County can point to peer-reviewed research, federal agency guidance, constitutional case law, and enacted legislation supporting each standard. The 60+ sources span federal, state, local, academic, and constitutional domains, creating a multi-layered foundation for the ordinance.</w:t>
      </w:r>
    </w:p>
    <w:p>
      <w:pPr>
        <w:pStyle w:val="Heading1"/>
        <w:spacing w:after="160" w:before="300"/>
      </w:pPr>
      <w:r>
        <w:rPr>
          <w:rFonts w:ascii="Arial" w:cs="Arial" w:eastAsia="Arial" w:hAnsi="Arial"/>
          <w:b/>
          <w:bCs/>
          <w:color w:val="1F3864"/>
          <w:sz w:val="28"/>
          <w:szCs w:val="28"/>
        </w:rPr>
        <w:t xml:space="preserve">Document 12: Legal Framework and Defensibility Analysis</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15. Legal_Framework_Defensibility-03222026_v5.docx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document demonstrates that every provision in the reform package has been designed with constitutional and statutory defensibility as a foundational requirement. It evaluates each major provision against applicable legal standards — including Dillon’s Rule, the Takings Clause (5th Amendment and Idaho Constitution Art. I, §14), due process, equal protection, and state preemption risk.</w:t>
      </w:r>
    </w:p>
    <w:p>
      <w:pPr>
        <w:pStyle w:val="Heading2"/>
        <w:spacing w:after="120" w:before="200"/>
      </w:pPr>
      <w:r>
        <w:rPr>
          <w:rFonts w:ascii="Arial" w:cs="Arial" w:eastAsia="Arial" w:hAnsi="Arial"/>
          <w:b/>
          <w:bCs/>
          <w:color w:val="2E75B6"/>
          <w:sz w:val="24"/>
          <w:szCs w:val="24"/>
        </w:rPr>
        <w:t xml:space="preserve">Key Analysis</w:t>
      </w:r>
    </w:p>
    <w:p>
      <w:pPr>
        <w:spacing w:after="160" w:before="0" w:line="276"/>
      </w:pPr>
      <w:r>
        <w:rPr>
          <w:rFonts w:ascii="Arial" w:cs="Arial" w:eastAsia="Arial" w:hAnsi="Arial"/>
          <w:b w:val="false"/>
          <w:bCs w:val="false"/>
          <w:i w:val="false"/>
          <w:iCs w:val="false"/>
          <w:sz w:val="22"/>
          <w:szCs w:val="22"/>
        </w:rPr>
        <w:t xml:space="preserve">The analysis covers: (1) Statutory authority under Idaho Code §67-6511, §67-6509, §67-6512, and HCR032; (2) Takings analysis for the three-tier system, Class I/II soil prohibition, BESS ban, decommissioning bonds, and data center definitions; (3) Due process defensibility of the notification radius; (4) The BESS agricultural zone prohibition as the highest relative risk provision, with recommendations for strengthening its legal basis; (5) Preemption risk assessment showing LOW current risk and MODERATE future risk; and (6) A comprehensive defensibility matrix rating every provision. The conclusion: adopt the package as proposed, with consideration of a narrow conditional pathway for small-scale BESS if additional legal margin is desired.</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This document should be read alongside Document 8 (Legal, Ethical &amp; Moral Justification), which provides the affirmative constitutional basis. Document 15 addresses potential challenges. Together they provide both sword and shield. The analysis also connects to Document 17 (CSPM), which provides the structured evidentiary record that defends the ordinance against claims of arbitrary regulation.</w:t>
      </w:r>
    </w:p>
    <w:p>
      <w:pPr>
        <w:pStyle w:val="Heading1"/>
        <w:spacing w:after="160" w:before="300"/>
      </w:pPr>
      <w:r>
        <w:rPr>
          <w:rFonts w:ascii="Arial" w:cs="Arial" w:eastAsia="Arial" w:hAnsi="Arial"/>
          <w:b/>
          <w:bCs/>
          <w:color w:val="1F3864"/>
          <w:sz w:val="28"/>
          <w:szCs w:val="28"/>
        </w:rPr>
        <w:t xml:space="preserve">Document 13: Fiscal Impact and Tax Revenue Analysis</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16. Fiscal_Impact_Tax_Revenue-03222026_v5.docx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document examines the actual fiscal dynamics of energy development regulation and demonstrates that responsible regulation protects the county’s long-term fiscal position. It addresses the most common objection to the reform package: “this will cost the county tax revenue.”</w:t>
      </w:r>
    </w:p>
    <w:p>
      <w:pPr>
        <w:pStyle w:val="Heading2"/>
        <w:spacing w:after="120" w:before="200"/>
      </w:pPr>
      <w:r>
        <w:rPr>
          <w:rFonts w:ascii="Arial" w:cs="Arial" w:eastAsia="Arial" w:hAnsi="Arial"/>
          <w:b/>
          <w:bCs/>
          <w:color w:val="2E75B6"/>
          <w:sz w:val="24"/>
          <w:szCs w:val="24"/>
        </w:rPr>
        <w:t xml:space="preserve">Key Analysis</w:t>
      </w:r>
    </w:p>
    <w:p>
      <w:pPr>
        <w:spacing w:after="160" w:before="0" w:line="276"/>
      </w:pPr>
      <w:r>
        <w:rPr>
          <w:rFonts w:ascii="Arial" w:cs="Arial" w:eastAsia="Arial" w:hAnsi="Arial"/>
          <w:b w:val="false"/>
          <w:bCs w:val="false"/>
          <w:i w:val="false"/>
          <w:iCs w:val="false"/>
          <w:sz w:val="22"/>
          <w:szCs w:val="22"/>
        </w:rPr>
        <w:t xml:space="preserve">The analysis documents: (1) Agricultural land’s role as a stable, recurring tax base that does not depend on market cycles or corporate decisions; (2) The tax revenue illusion created by PILOT agreements, investment tax credits, renewable energy exemptions, and TIF districts that reduce effective rates by 50–80%; (3) Stranded asset risk if the $700B AI bubble deflates, leaving the county with decommissioned facilities, zero tax revenue, and $5–15M cleanup costs per installation; (4) Utility rate impacts from Idaho Power’s 7.48% increase and projected 50–75% capacity expansion; (5) A net fiscal equation comparing unrestricted development vs. the reform package across eight fiscal factors; and (6) A direct response to the “we need the tax base” argument using CSPM Economic Conditions scoring.</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This document directly supports the 125% decommissioning bond requirement in Chapter 11, the data center crisis analysis in Document 9, the water/utility rate analysis in Document 10, and the CSPM Economic Conditions dimension in Document 17. It provides the fiscal evidence base that the Board needs to counter developer arguments about tax revenue loss.</w:t>
      </w:r>
    </w:p>
    <w:p>
      <w:pPr>
        <w:pStyle w:val="Heading1"/>
        <w:spacing w:after="160" w:before="300"/>
      </w:pPr>
      <w:r>
        <w:rPr>
          <w:rFonts w:ascii="Arial" w:cs="Arial" w:eastAsia="Arial" w:hAnsi="Arial"/>
          <w:b/>
          <w:bCs/>
          <w:color w:val="1F3864"/>
          <w:sz w:val="28"/>
          <w:szCs w:val="28"/>
        </w:rPr>
        <w:t xml:space="preserve">Document 14: CSPM Framework Application and Methodology</w:t>
      </w:r>
    </w:p>
    <w:p>
      <w:pPr>
        <w:spacing w:after="160" w:before="0" w:line="276"/>
      </w:pPr>
      <w:r>
        <w:rPr>
          <w:rFonts w:ascii="Arial" w:cs="Arial" w:eastAsia="Arial" w:hAnsi="Arial"/>
          <w:b/>
          <w:bCs/>
          <w:sz w:val="22"/>
          <w:szCs w:val="22"/>
        </w:rPr>
        <w:t xml:space="preserve">File: </w:t>
      </w:r>
      <w:r>
        <w:rPr>
          <w:rFonts w:ascii="Arial" w:cs="Arial" w:eastAsia="Arial" w:hAnsi="Arial"/>
          <w:sz w:val="22"/>
          <w:szCs w:val="22"/>
        </w:rPr>
        <w:t xml:space="preserve">17. CSPM_Framework_Application-03222026_v5.docx</w:t>
      </w:r>
    </w:p>
    <w:p>
      <w:pPr>
        <w:pStyle w:val="Heading2"/>
        <w:spacing w:after="120" w:before="200"/>
      </w:pPr>
      <w:r>
        <w:rPr>
          <w:rFonts w:ascii="Arial" w:cs="Arial" w:eastAsia="Arial" w:hAnsi="Arial"/>
          <w:b/>
          <w:bCs/>
          <w:color w:val="2E75B6"/>
          <w:sz w:val="24"/>
          <w:szCs w:val="24"/>
        </w:rPr>
        <w:t xml:space="preserve">What It Does</w:t>
      </w:r>
    </w:p>
    <w:p>
      <w:pPr>
        <w:spacing w:after="160" w:before="0" w:line="276"/>
      </w:pPr>
      <w:r>
        <w:rPr>
          <w:rFonts w:ascii="Arial" w:cs="Arial" w:eastAsia="Arial" w:hAnsi="Arial"/>
          <w:b w:val="false"/>
          <w:bCs w:val="false"/>
          <w:i w:val="false"/>
          <w:iCs w:val="false"/>
          <w:sz w:val="22"/>
          <w:szCs w:val="22"/>
        </w:rPr>
        <w:t xml:space="preserve">This document formally applies the County Siting Posture Metric (CSPM) to Jerome County. The CSPM is a 100-point structured scoring framework that evaluates where a county sits on the spectrum from ‘open for regulated development’ to ‘ban justified.’ It is the analytical foundation referenced in Chapter 10 (Comprehensive Plan) that justifies the county’s restrictive regulatory posture.</w:t>
      </w:r>
    </w:p>
    <w:p>
      <w:pPr>
        <w:pStyle w:val="Heading2"/>
        <w:spacing w:after="120" w:before="200"/>
      </w:pPr>
      <w:r>
        <w:rPr>
          <w:rFonts w:ascii="Arial" w:cs="Arial" w:eastAsia="Arial" w:hAnsi="Arial"/>
          <w:b/>
          <w:bCs/>
          <w:color w:val="2E75B6"/>
          <w:sz w:val="24"/>
          <w:szCs w:val="24"/>
        </w:rPr>
        <w:t xml:space="preserve">Key Analysis</w:t>
      </w:r>
    </w:p>
    <w:p>
      <w:pPr>
        <w:spacing w:after="160" w:before="0" w:line="276"/>
      </w:pPr>
      <w:r>
        <w:rPr>
          <w:rFonts w:ascii="Arial" w:cs="Arial" w:eastAsia="Arial" w:hAnsi="Arial"/>
          <w:b w:val="false"/>
          <w:bCs w:val="false"/>
          <w:i w:val="false"/>
          <w:iCs w:val="false"/>
          <w:sz w:val="22"/>
          <w:szCs w:val="22"/>
        </w:rPr>
        <w:t xml:space="preserve">The CSPM scores six dimensions: Infrastructure Capacity (×2.5 weight), Agricultural Protection (×2.0), Regulatory Capacity (×1.5), Community/Plan Alignment (×1.5), Economic Conditions (×1.5, inverted), and Cumulative/Regional Pressure (×1.0). Jerome County’s documented scores: Infrastructure 8, Agriculture 9, Regulatory Capacity 7, Community Alignment 9, Economic Conditions 2 (inverted to 8), Cumulative Pressure 6. Total CSPM score: 80.0 — placing Jerome County at the threshold of the ‘Ban Justified’ range (80–100). The reform package opts for structured regulation rather than outright prohibition, which is a MORE moderate response than the CSPM score alone would justify.</w:t>
      </w:r>
    </w:p>
    <w:p>
      <w:pPr>
        <w:pStyle w:val="Heading2"/>
        <w:spacing w:after="120" w:before="200"/>
      </w:pPr>
      <w:r>
        <w:rPr>
          <w:rFonts w:ascii="Arial" w:cs="Arial" w:eastAsia="Arial" w:hAnsi="Arial"/>
          <w:b/>
          <w:bCs/>
          <w:color w:val="2E75B6"/>
          <w:sz w:val="24"/>
          <w:szCs w:val="24"/>
        </w:rPr>
        <w:t xml:space="preserve">How It Integrates</w:t>
      </w:r>
    </w:p>
    <w:p>
      <w:pPr>
        <w:spacing w:after="160" w:before="0" w:line="276"/>
      </w:pPr>
      <w:r>
        <w:rPr>
          <w:rFonts w:ascii="Arial" w:cs="Arial" w:eastAsia="Arial" w:hAnsi="Arial"/>
          <w:b w:val="false"/>
          <w:bCs w:val="false"/>
          <w:i w:val="false"/>
          <w:iCs w:val="false"/>
          <w:sz w:val="22"/>
          <w:szCs w:val="22"/>
        </w:rPr>
        <w:t xml:space="preserve">The CSPM operates at the POLICY level (Chapter 10), NOT the project level. It justifies WHY the county’s ordinance is restrictive. The Environmental Impact Assessment (EIA) in Chapter 11 operates at the PROJECT level for Tier 3 applications. They do different jobs: the CSPM provides the evidentiary basis for the framework; the EIA implements it case by case. The CSPM scores draw on data from Document 10 (Water/Infrastructure), Document 11 (Community Survey), Document 9 (Data Center Crisis), and Document 15 (Legal Framework). It is the analytical keystone that ties the entire package together.</w:t>
      </w:r>
    </w:p>
    <w:p>
      <w:pPr>
        <w:pageBreakBefore/>
        <w:spacing w:after="80"/>
      </w:pPr>
    </w:p>
    <w:p>
      <w:pPr>
        <w:pStyle w:val="Heading1"/>
        <w:spacing w:after="160" w:before="300"/>
      </w:pPr>
      <w:r>
        <w:rPr>
          <w:rFonts w:ascii="Arial" w:cs="Arial" w:eastAsia="Arial" w:hAnsi="Arial"/>
          <w:b/>
          <w:bCs/>
          <w:color w:val="1F3864"/>
          <w:sz w:val="28"/>
          <w:szCs w:val="28"/>
        </w:rPr>
        <w:t xml:space="preserve">Summary of Planning &amp; Zoning Commission Findings — Where Stronger Standards Are Warranted</w:t>
      </w:r>
    </w:p>
    <w:p>
      <w:pPr>
        <w:spacing w:after="160" w:before="0" w:line="276"/>
      </w:pPr>
      <w:r>
        <w:rPr>
          <w:rFonts w:ascii="Arial" w:cs="Arial" w:eastAsia="Arial" w:hAnsi="Arial"/>
          <w:b w:val="false"/>
          <w:bCs w:val="false"/>
          <w:i w:val="false"/>
          <w:iCs w:val="false"/>
          <w:sz w:val="22"/>
          <w:szCs w:val="22"/>
        </w:rPr>
        <w:t xml:space="preserve">The P&amp;Z Commission's February 23, 2026 recommendations included five findings. The County Commission should adopt Findings 3 and 5 as written but should adopt stronger standards than recommended for Findings 1, 2, 4, and 5. The table below summarizes the Commission findings and the ordinance package's response.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3930"/>
        <w:gridCol w:w="3930"/>
      </w:tblGrid>
      <w:tr>
        <w:tc>
          <w:tcPr>
            <w:tcW w:type="dxa" w:w="1500"/>
            <w:tcBorders>
              <w:top w:val="single" w:color="AAAAAA" w:sz="1"/>
              <w:left w:val="single" w:color="AAAAAA" w:sz="1"/>
              <w:bottom w:val="single" w:color="AAAAAA" w:sz="1"/>
              <w:right w:val="single" w:color="AAAAAA" w:sz="1"/>
            </w:tcBorders>
            <w:shd w:fill="1F3864" w:val="clear"/>
            <w:tcMar>
              <w:top w:type="dxa" w:w="60"/>
              <w:left w:type="dxa" w:w="120"/>
              <w:bottom w:type="dxa" w:w="60"/>
              <w:right w:type="dxa" w:w="120"/>
            </w:tcMar>
          </w:tcPr>
          <w:p>
            <w:pPr>
              <w:spacing w:after="40"/>
            </w:pPr>
            <w:r>
              <w:rPr>
                <w:rFonts w:ascii="Arial" w:cs="Arial" w:eastAsia="Arial" w:hAnsi="Arial"/>
                <w:b/>
                <w:bCs/>
                <w:i w:val="false"/>
                <w:iCs w:val="false"/>
                <w:color w:val="FFFFFF"/>
                <w:sz w:val="20"/>
                <w:szCs w:val="20"/>
              </w:rPr>
              <w:t xml:space="preserve">Finding</w:t>
            </w:r>
          </w:p>
        </w:tc>
        <w:tc>
          <w:tcPr>
            <w:tcW w:type="dxa" w:w="3930"/>
            <w:tcBorders>
              <w:top w:val="single" w:color="AAAAAA" w:sz="1"/>
              <w:left w:val="single" w:color="AAAAAA" w:sz="1"/>
              <w:bottom w:val="single" w:color="AAAAAA" w:sz="1"/>
              <w:right w:val="single" w:color="AAAAAA" w:sz="1"/>
            </w:tcBorders>
            <w:shd w:fill="1F3864" w:val="clear"/>
            <w:tcMar>
              <w:top w:type="dxa" w:w="60"/>
              <w:left w:type="dxa" w:w="120"/>
              <w:bottom w:type="dxa" w:w="60"/>
              <w:right w:type="dxa" w:w="120"/>
            </w:tcMar>
          </w:tcPr>
          <w:p>
            <w:pPr>
              <w:spacing w:after="40"/>
            </w:pPr>
            <w:r>
              <w:rPr>
                <w:rFonts w:ascii="Arial" w:cs="Arial" w:eastAsia="Arial" w:hAnsi="Arial"/>
                <w:b/>
                <w:bCs/>
                <w:i w:val="false"/>
                <w:iCs w:val="false"/>
                <w:color w:val="FFFFFF"/>
                <w:sz w:val="20"/>
                <w:szCs w:val="20"/>
              </w:rPr>
              <w:t xml:space="preserve">P&amp;Z Recommendation (Summary)</w:t>
            </w:r>
          </w:p>
        </w:tc>
        <w:tc>
          <w:tcPr>
            <w:tcW w:type="dxa" w:w="3930"/>
            <w:tcBorders>
              <w:top w:val="single" w:color="AAAAAA" w:sz="1"/>
              <w:left w:val="single" w:color="AAAAAA" w:sz="1"/>
              <w:bottom w:val="single" w:color="AAAAAA" w:sz="1"/>
              <w:right w:val="single" w:color="AAAAAA" w:sz="1"/>
            </w:tcBorders>
            <w:shd w:fill="1F3864" w:val="clear"/>
            <w:tcMar>
              <w:top w:type="dxa" w:w="60"/>
              <w:left w:type="dxa" w:w="120"/>
              <w:bottom w:type="dxa" w:w="60"/>
              <w:right w:type="dxa" w:w="120"/>
            </w:tcMar>
          </w:tcPr>
          <w:p>
            <w:pPr>
              <w:spacing w:after="40"/>
            </w:pPr>
            <w:r>
              <w:rPr>
                <w:rFonts w:ascii="Arial" w:cs="Arial" w:eastAsia="Arial" w:hAnsi="Arial"/>
                <w:b/>
                <w:bCs/>
                <w:i w:val="false"/>
                <w:iCs w:val="false"/>
                <w:color w:val="FFFFFF"/>
                <w:sz w:val="20"/>
                <w:szCs w:val="20"/>
              </w:rPr>
              <w:t xml:space="preserve">Ordinance Package Response</w:t>
            </w:r>
          </w:p>
        </w:tc>
      </w:tr>
      <w:tr>
        <w:tc>
          <w:tcPr>
            <w:tcW w:type="dxa" w:w="15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Finding 1: Property Values</w:t>
            </w:r>
          </w:p>
        </w:tc>
        <w:tc>
          <w:tcPr>
            <w:tcW w:type="dxa" w:w="393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Consider property value impact; adopt modest mitigation (title notice on adjacent properties)</w:t>
            </w:r>
          </w:p>
        </w:tc>
        <w:tc>
          <w:tcPr>
            <w:tcW w:type="dxa" w:w="393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Adopt strong property value protection: Hoen et al. (PNAS 2025) documents 4.8% decline within 1 mile. Require larger setbacks (1.5–2x height), property value impact assessments, title notice, and enhanced monitoring for projects near residential areas.</w:t>
            </w:r>
          </w:p>
        </w:tc>
      </w:tr>
      <w:tr>
        <w:tc>
          <w:tcPr>
            <w:tcW w:type="dxa" w:w="15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Finding 2: Ag Impacts</w:t>
            </w:r>
          </w:p>
        </w:tc>
        <w:tc>
          <w:tcPr>
            <w:tcW w:type="dxa" w:w="393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Agricultural soils warrant protection; limit large projects to non-prime soils; encourage restoration</w:t>
            </w:r>
          </w:p>
        </w:tc>
        <w:tc>
          <w:tcPr>
            <w:tcW w:type="dxa" w:w="393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Adopt categorical prohibition on Class I/II soils plus post-decommissioning agricultural restoration requirement: NC State research shows 20–40% yield loss for 3–5 years post-decommissioning; Welsh Government research shows 18–30 year recovery. Require decommissioning plans addressing soil restoration.</w:t>
            </w:r>
          </w:p>
        </w:tc>
      </w:tr>
      <w:tr>
        <w:tc>
          <w:tcPr>
            <w:tcW w:type="dxa" w:w="150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Finding 4: Water Resources</w:t>
            </w:r>
          </w:p>
        </w:tc>
        <w:tc>
          <w:tcPr>
            <w:tcW w:type="dxa" w:w="393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Consider water impacts; require impact assessment; ensure availability</w:t>
            </w:r>
          </w:p>
        </w:tc>
        <w:tc>
          <w:tcPr>
            <w:tcW w:type="dxa" w:w="3930"/>
            <w:tcBorders>
              <w:top w:val="single" w:color="AAAAAA" w:sz="1"/>
              <w:left w:val="single" w:color="AAAAAA" w:sz="1"/>
              <w:bottom w:val="single" w:color="AAAAAA" w:sz="1"/>
              <w:right w:val="single" w:color="AAAAAA" w:sz="1"/>
            </w:tcBorders>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Adopt strict water protection: IDWR identified 75,300 acre-foot shortfall in ESPA by July 2025 with zero margin for new demand. Require water availability certification, impact assessments, water use limits, and data disclosure. Restrict projects in water-stressed areas.</w:t>
            </w:r>
          </w:p>
        </w:tc>
      </w:tr>
      <w:tr>
        <w:tc>
          <w:tcPr>
            <w:tcW w:type="dxa" w:w="150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Finding 5: Notification</w:t>
            </w:r>
          </w:p>
        </w:tc>
        <w:tc>
          <w:tcPr>
            <w:tcW w:type="dxa" w:w="393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Standard 300–500 foot radius appropriate</w:t>
            </w:r>
          </w:p>
        </w:tc>
        <w:tc>
          <w:tcPr>
            <w:tcW w:type="dxa" w:w="3930"/>
            <w:tcBorders>
              <w:top w:val="single" w:color="AAAAAA" w:sz="1"/>
              <w:left w:val="single" w:color="AAAAAA" w:sz="1"/>
              <w:bottom w:val="single" w:color="AAAAAA" w:sz="1"/>
              <w:right w:val="single" w:color="AAAAAA" w:sz="1"/>
            </w:tcBorders>
            <w:shd w:fill="F2F7FB" w:val="clear"/>
            <w:tcMar>
              <w:top w:type="dxa" w:w="60"/>
              <w:left w:type="dxa" w:w="120"/>
              <w:bottom w:type="dxa" w:w="60"/>
              <w:right w:type="dxa" w:w="120"/>
            </w:tcMar>
          </w:tcPr>
          <w:p>
            <w:pPr>
              <w:spacing w:after="40"/>
            </w:pPr>
            <w:r>
              <w:rPr>
                <w:rFonts w:ascii="Arial" w:cs="Arial" w:eastAsia="Arial" w:hAnsi="Arial"/>
                <w:b w:val="false"/>
                <w:bCs w:val="false"/>
                <w:i w:val="false"/>
                <w:iCs w:val="false"/>
                <w:sz w:val="20"/>
                <w:szCs w:val="20"/>
              </w:rPr>
              <w:t xml:space="preserve">Adopt county-wide + 25-mile notification for projects over 25 MW: Hoen et al. shows property value impacts to ~3 miles; water resources are aquifer-wide; rural character extends county-wide. JTown Survey: 90.8% support county-wide notification. Consistent with Nollan/Dolan rough proportionality standard.</w:t>
            </w:r>
          </w:p>
        </w:tc>
      </w:tr>
    </w:tbl>
    <w:p>
      <w:pPr>
        <w:spacing w:after="200" w:before="0" w:line="276"/>
      </w:pPr>
      <w:r>
        <w:rPr>
          <w:rFonts w:ascii="Arial" w:cs="Arial" w:eastAsia="Arial" w:hAnsi="Arial"/>
          <w:b w:val="false"/>
          <w:bCs w:val="false"/>
          <w:i w:val="false"/>
          <w:iCs w:val="false"/>
          <w:sz w:val="22"/>
          <w:szCs w:val="22"/>
        </w:rPr>
        <w:t xml:space="preserve"/>
      </w:r>
    </w:p>
    <w:p>
      <w:pPr>
        <w:pStyle w:val="Heading1"/>
        <w:spacing w:after="160" w:before="300"/>
      </w:pPr>
      <w:r>
        <w:rPr>
          <w:rFonts w:ascii="Arial" w:cs="Arial" w:eastAsia="Arial" w:hAnsi="Arial"/>
          <w:b/>
          <w:bCs/>
          <w:color w:val="1F3864"/>
          <w:sz w:val="28"/>
          <w:szCs w:val="28"/>
        </w:rPr>
        <w:t xml:space="preserve">How to Use This Package</w:t>
      </w:r>
    </w:p>
    <w:p>
      <w:pPr>
        <w:pStyle w:val="Heading2"/>
        <w:spacing w:after="120" w:before="200"/>
      </w:pPr>
      <w:r>
        <w:rPr>
          <w:rFonts w:ascii="Arial" w:cs="Arial" w:eastAsia="Arial" w:hAnsi="Arial"/>
          <w:b/>
          <w:bCs/>
          <w:color w:val="2E75B6"/>
          <w:sz w:val="24"/>
          <w:szCs w:val="24"/>
        </w:rPr>
        <w:t xml:space="preserve">For the Board of County Commissioners</w:t>
      </w:r>
    </w:p>
    <w:p>
      <w:pPr>
        <w:spacing w:after="160" w:before="0" w:line="276"/>
      </w:pPr>
      <w:r>
        <w:rPr>
          <w:rFonts w:ascii="Arial" w:cs="Arial" w:eastAsia="Arial" w:hAnsi="Arial"/>
          <w:b w:val="false"/>
          <w:bCs w:val="false"/>
          <w:i w:val="false"/>
          <w:iCs w:val="false"/>
          <w:sz w:val="22"/>
          <w:szCs w:val="22"/>
        </w:rPr>
        <w:t xml:space="preserve">This package provides the complete legal, evidentiary, and policy foundation for adopting the most comprehensive, evidence-based energy facility and data center ordinance in the region. Start with the Overview and Table of Contents (this document) to understand the package structure. Then read the Response to P&amp;Z Recommendations to understand the specific ordinance changes being proposed and the evidence supporting them. Next, review the three ordinance documents (Chapters 7, 10, 11) to understand the specific standards. Finally, refer to the Position Papers as needed to address policy questions or community debate. The Sources document and individual position papers provide the foundation if legal challenges occur.</w:t>
      </w:r>
    </w:p>
    <w:p>
      <w:pPr>
        <w:pStyle w:val="Heading2"/>
        <w:spacing w:after="120" w:before="200"/>
      </w:pPr>
      <w:r>
        <w:rPr>
          <w:rFonts w:ascii="Arial" w:cs="Arial" w:eastAsia="Arial" w:hAnsi="Arial"/>
          <w:b/>
          <w:bCs/>
          <w:color w:val="2E75B6"/>
          <w:sz w:val="24"/>
          <w:szCs w:val="24"/>
        </w:rPr>
        <w:t xml:space="preserve">For Public Comment</w:t>
      </w:r>
    </w:p>
    <w:p>
      <w:pPr>
        <w:spacing w:after="160" w:before="0" w:line="276"/>
      </w:pPr>
      <w:r>
        <w:rPr>
          <w:rFonts w:ascii="Arial" w:cs="Arial" w:eastAsia="Arial" w:hAnsi="Arial"/>
          <w:b w:val="false"/>
          <w:bCs w:val="false"/>
          <w:i w:val="false"/>
          <w:iCs w:val="false"/>
          <w:sz w:val="22"/>
          <w:szCs w:val="22"/>
        </w:rPr>
        <w:t xml:space="preserve">This package is designed to be accessible at multiple levels. If you have 30 minutes, read the Overview, the Table of Contents, and one position paper of interest (e.g., Position Paper: Property Rights &amp; Community Notification if you care about due process; Position Paper: Data Center Crisis if you care about job/tax projections; Legal/Ethical/Moral Justification if you care about fundamental principles). If you have 2 hours, read this Guide plus all three ordinance chapters (7, 10, 11) to understand the specific standards. If you want deep engagement, read everything: the ordinances, the Response to P&amp;Z, the position papers, the supplements, and the sources. The JTown Beacon Survey results are especially powerful for public comment because they show near-unanimous community support for protection.</w:t>
      </w:r>
    </w:p>
    <w:p>
      <w:pPr>
        <w:pStyle w:val="Heading2"/>
        <w:spacing w:after="120" w:before="200"/>
      </w:pPr>
      <w:r>
        <w:rPr>
          <w:rFonts w:ascii="Arial" w:cs="Arial" w:eastAsia="Arial" w:hAnsi="Arial"/>
          <w:b/>
          <w:bCs/>
          <w:color w:val="2E75B6"/>
          <w:sz w:val="24"/>
          <w:szCs w:val="24"/>
        </w:rPr>
        <w:t xml:space="preserve">For Media and External Communications</w:t>
      </w:r>
    </w:p>
    <w:p>
      <w:pPr>
        <w:spacing w:after="160" w:before="0" w:line="276"/>
      </w:pPr>
      <w:r>
        <w:rPr>
          <w:rFonts w:ascii="Arial" w:cs="Arial" w:eastAsia="Arial" w:hAnsi="Arial"/>
          <w:b w:val="false"/>
          <w:bCs w:val="false"/>
          <w:i w:val="false"/>
          <w:iCs w:val="false"/>
          <w:sz w:val="22"/>
          <w:szCs w:val="22"/>
        </w:rPr>
        <w:t xml:space="preserve">The key talking points: (1) 93.8% of Jerome County residents prioritize agricultural preservation; 90.8% support county-wide notification; 80% say current regulations are inadequate. (2) The ordinance is based on peer-reviewed research showing property value impacts (-4.8%, Hoen et al.), agricultural soil damage (18–30 year recovery, Welsh Government), water crisis (ESPA 75,300 acre-foot shortfall), and national pattern (30–50% of data center pipeline unlikely to come online due to speculation). (3) Stronger regulations are consistent with state policy (Idaho HCR032 declares energy development inconsistent with state policy if it harms agriculture or water). (4) Similar protections have been adopted elsewhere (Bannock County ban, Maryland county soil protections) and are being debated in 22+ states via 60+ bills in 2025.</w:t>
      </w:r>
    </w:p>
    <w:p>
      <w:pPr>
        <w:spacing w:after="200" w:before="0" w:line="276"/>
      </w:pPr>
      <w:r>
        <w:rPr>
          <w:rFonts w:ascii="Arial" w:cs="Arial" w:eastAsia="Arial" w:hAnsi="Arial"/>
          <w:b w:val="false"/>
          <w:bCs w:val="false"/>
          <w:i w:val="false"/>
          <w:iCs w:val="false"/>
          <w:sz w:val="22"/>
          <w:szCs w:val="22"/>
        </w:rPr>
        <w:t xml:space="preserve"/>
      </w:r>
    </w:p>
    <w:p>
      <w:pPr>
        <w:pBdr>
          <w:top w:val="single" w:color="2E75B6" w:sz="4" w:space="8"/>
        </w:pBdr>
        <w:spacing w:after="100" w:before="200"/>
        <w:jc w:val="center"/>
      </w:pPr>
      <w:r>
        <w:rPr>
          <w:rFonts w:ascii="Arial" w:cs="Arial" w:eastAsia="Arial" w:hAnsi="Arial"/>
          <w:i/>
          <w:iCs/>
          <w:color w:val="666666"/>
          <w:sz w:val="18"/>
          <w:szCs w:val="18"/>
        </w:rPr>
        <w:t xml:space="preserve">Prepared by Jeff Pierson, Confidential Solutions LLC  |  713 East Ave C, Jerome, Idaho  |  March 2026</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Document Package Guide and Table of Contents</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v1</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guide structure: overview, TOC, document descriptions, P&amp;Z summary, usage guide</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v2</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complete document descriptions for all 11 documents with What It Does/Key Provisions/How It Integrates structure</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v3</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P&amp;Z Errors Summary table, expanded usage sections for Board/Public/Media</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v4</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national context citations, integrated HCR032 references throughout, reinforced survey statistics</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Final revision with complete integration of all ordinance chapters, position papers, and supplements; revision history page added</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Package expanded from 14 to 17 documents. Added Document 15 (Legal Framework and Defensibility Analysis), Document 16 (Fiscal Impact and Tax Revenue Analysis), and Document 17 (CSPM Framework Application and Methodology). Updated overview, table of contents, and document descriptions throughout. Added IdahoEnergy logo to footer.</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5B6" w:sz="4" w:space="4"/>
      </w:pBdr>
      <w:tabs>
        <w:tab w:val="right" w:pos="9026"/>
      </w:tabs>
    </w:pPr>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304800"/>
                  </a:xfrm>
                  <a:prstGeom prst="rect">
                    <a:avLst/>
                  </a:prstGeom>
                </pic:spPr>
              </pic:pic>
            </a:graphicData>
          </a:graphic>
        </wp:inline>
      </w:drawing>
    </w:r>
    <w:r>
      <w:rPr>
        <w:rFonts w:ascii="Arial" w:cs="Arial" w:eastAsia="Arial" w:hAnsi="Arial"/>
        <w:color w:val="666666"/>
        <w:sz w:val="16"/>
        <w:szCs w:val="16"/>
      </w:rPr>
      <w:t xml:space="preserve"> Jerome County Energy Ordinance Reform Package</w:t>
    </w:r>
    <w:r>
      <w:rPr>
        <w:rFonts w:ascii="Arial" w:cs="Arial" w:eastAsia="Arial" w:hAnsi="Arial"/>
        <w:color w:val="666666"/>
        <w:sz w:val="16"/>
        <w:szCs w:val="16"/>
      </w:rPr>
      <w:t xml:space="preserve">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4" w:space="4"/>
      </w:pBdr>
      <w:jc w:val="right"/>
    </w:pPr>
    <w:r>
      <w:rPr>
        <w:rFonts w:ascii="Arial" w:cs="Arial" w:eastAsia="Arial" w:hAnsi="Arial"/>
        <w:i/>
        <w:iCs/>
        <w:color w:val="666666"/>
        <w:sz w:val="16"/>
        <w:szCs w:val="16"/>
      </w:rPr>
      <w:t xml:space="preserve">JEROME COUNTY ENERGY ORDINANCE REFORM — DOCUMENT PACKAGE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9ca865e1c5a7b0148e78c60e0124e67a684ba82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2026-03-23T07:15:33.007Z</dcterms:created>
  <dcterms:modified xsi:type="dcterms:W3CDTF">2026-03-23T07:15:33.008Z</dcterms:modified>
</cp:coreProperties>
</file>

<file path=docProps/custom.xml><?xml version="1.0" encoding="utf-8"?>
<Properties xmlns="http://schemas.openxmlformats.org/officeDocument/2006/custom-properties" xmlns:vt="http://schemas.openxmlformats.org/officeDocument/2006/docPropsVTypes"/>
</file>