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400"/>
      </w:pPr>
    </w:p>
    <w:p>
      <w:pPr>
        <w:spacing w:after="120"/>
        <w:jc w:val="center"/>
      </w:pPr>
      <w:r>
        <w:t xml:space="preserve">JEROME COUNTY</w:t>
      </w:r>
    </w:p>
    <w:p>
      <w:pPr>
        <w:pBdr>
          <w:bottom w:val="single" w:color="2E75B6" w:sz="16" w:space="1"/>
        </w:pBdr>
        <w:spacing w:after="240"/>
        <w:jc w:val="center"/>
      </w:pPr>
      <w:r>
        <w:t xml:space="preserve">Energy Ordinance Reform Package</w:t>
      </w:r>
    </w:p>
    <w:p>
      <w:pPr>
        <w:spacing w:after="240"/>
        <w:jc w:val="center"/>
      </w:pPr>
      <w:r>
        <w:t xml:space="preserve">Document 17 of 17</w:t>
      </w:r>
    </w:p>
    <w:p>
      <w:pPr>
        <w:spacing w:after="240"/>
        <w:jc w:val="center"/>
      </w:pPr>
      <w:r>
        <w:t xml:space="preserve">CSPM Framework Application and Methodology</w:t>
      </w:r>
    </w:p>
    <w:p>
      <w:pPr>
        <w:spacing w:after="400" w:line="360"/>
        <w:jc w:val="center"/>
      </w:pPr>
      <w:r>
        <w:t xml:space="preserve">Application of the County Siting Posture Metric to Jerome County — a structured scoring framework for evaluating the county's regulatory posture toward energy facility development</w:t>
      </w:r>
    </w:p>
    <w:p>
      <w:pPr>
        <w:spacing w:after="120"/>
        <w:jc w:val="center"/>
      </w:pPr>
      <w:r>
        <w:t xml:space="preserve">Prepared by Jeff Pierson</w:t>
      </w:r>
    </w:p>
    <w:p>
      <w:pPr>
        <w:spacing w:after="120"/>
        <w:jc w:val="center"/>
      </w:pPr>
      <w:r>
        <w:t xml:space="preserve">Confidential Solutions LLC | Jerome, Idaho</w:t>
      </w:r>
    </w:p>
    <w:p>
      <w:pPr>
        <w:spacing w:after="0"/>
        <w:jc w:val="center"/>
      </w:pPr>
      <w:r>
        <w:t xml:space="preserve">March 2026</w:t>
      </w:r>
    </w:p>
    <w:p>
      <w:pPr>
        <w:spacing w:after="160" w:before="360" w:line="240"/>
      </w:pPr>
      <w:r>
        <w:t xml:space="preserve">What is the CSPM?</w:t>
      </w:r>
    </w:p>
    <w:p>
      <w:pPr>
        <w:spacing w:after="120" w:line="240" w:lineRule="auto"/>
      </w:pPr>
      <w:r>
        <w:t xml:space="preserve">The County Siting Posture Metric (CSPM) is a 100-point structured scoring framework that evaluates where a county sits on the spectrum from "open for regulated development" to "ban justified." It was developed as part of the policy analysis </w:t>
      </w:r>
    </w:p>
    <w:p>
      <w:pPr>
        <w:spacing w:after="120" w:line="240" w:lineRule="auto"/>
      </w:pPr>
      <w:r>
        <w:rPr>
          <w:rFonts w:ascii="Arial" w:cs="Arial" w:eastAsia="Arial" w:hAnsi="Arial"/>
          <w:sz w:val="22"/>
          <w:szCs w:val="22"/>
        </w:rPr>
        <w:t xml:space="preserve">The Total Ban Question: When Counties Consider Banning Grid-Scale Energy Projects Outright — and How to Decide</w:t>
      </w:r>
      <w:r>
        <w:rPr>
          <w:rFonts w:ascii="Arial" w:cs="Arial" w:eastAsia="Arial" w:hAnsi="Arial"/>
          <w:sz w:val="22"/>
          <w:szCs w:val="22"/>
        </w:rPr>
        <w:t xml:space="preserve">.</w:t>
      </w:r>
    </w:p>
    <w:p>
      <w:pPr>
        <w:spacing w:after="120" w:line="240" w:lineRule="auto"/>
      </w:pPr>
      <w:r>
        <w:t xml:space="preserve">The CSPM is not a formula that produces a binding answer. It is a structured discipline that forces counties to assess each factor honestly, document the basis for each score, and arrive at a defensible posture. The process of completing it is as valuable as the score itself.</w:t>
      </w:r>
    </w:p>
    <w:p>
      <w:pPr>
        <w:spacing w:after="120" w:line="240" w:lineRule="auto"/>
      </w:pPr>
      <w:r>
        <w:t xml:space="preserve">The CSPM operates at the POLICY LEVEL — it is referenced in Chapter 10 (Comprehensive Plan) and informs the county's overall regulatory stance. It is NOT a per-project requirement. The Environmental Impact Assessment (EIA) required under Chapter 11 for Tier 3 projects is the per-project evaluation mechanism. The CSPM justifies the framework; the EIA implements it within that framework.</w:t>
      </w:r>
    </w:p>
    <w:p>
      <w:pPr>
        <w:spacing w:after="160" w:before="360" w:line="240"/>
      </w:pPr>
      <w:r>
        <w:t xml:space="preserve">The Six Scoring Dimensions</w:t>
      </w:r>
    </w:p>
    <w:p>
      <w:pPr>
        <w:spacing w:after="120" w:line="240" w:lineRule="auto"/>
      </w:pPr>
      <w:r>
        <w:t xml:space="preserve">Each dimension is scored 0 (no concern) to 10 (critical constraint), then multiplied by a weighting factor. Maximum possible score: 100.</w:t>
      </w:r>
    </w:p>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shd w:fill="E7E6E6" w:val="clear"/>
            <w:tcMar>
              <w:top w:type="dxa" w:w="80"/>
              <w:left w:type="dxa" w:w="120"/>
              <w:bottom w:type="dxa" w:w="80"/>
              <w:right w:type="dxa" w:w="120"/>
            </w:tcMar>
            <w:vAlign w:val="center"/>
          </w:tcPr>
          <w:p>
            <w:pPr>
              <w:spacing w:line="240"/>
            </w:pPr>
            <w:r>
              <w:t xml:space="preserve">Dimension</w:t>
            </w:r>
          </w:p>
        </w:tc>
        <w:tc>
          <w:tcPr>
            <w:shd w:fill="E7E6E6" w:val="clear"/>
            <w:tcMar>
              <w:top w:type="dxa" w:w="80"/>
              <w:left w:type="dxa" w:w="120"/>
              <w:bottom w:type="dxa" w:w="80"/>
              <w:right w:type="dxa" w:w="120"/>
            </w:tcMar>
            <w:vAlign w:val="center"/>
          </w:tcPr>
          <w:p>
            <w:pPr>
              <w:spacing w:line="240"/>
            </w:pPr>
            <w:r>
              <w:t xml:space="preserve">Weight</w:t>
            </w:r>
          </w:p>
        </w:tc>
        <w:tc>
          <w:tcPr>
            <w:shd w:fill="E7E6E6" w:val="clear"/>
            <w:tcMar>
              <w:top w:type="dxa" w:w="80"/>
              <w:left w:type="dxa" w:w="120"/>
              <w:bottom w:type="dxa" w:w="80"/>
              <w:right w:type="dxa" w:w="120"/>
            </w:tcMar>
            <w:vAlign w:val="center"/>
          </w:tcPr>
          <w:p>
            <w:pPr>
              <w:spacing w:line="240"/>
            </w:pPr>
            <w:r>
              <w:t xml:space="preserve">What Is Being Measured</w:t>
            </w:r>
          </w:p>
        </w:tc>
      </w:tr>
      <w:tr>
        <w:tc>
          <w:tcPr>
            <w:tcMar>
              <w:top w:type="dxa" w:w="80"/>
              <w:left w:type="dxa" w:w="120"/>
              <w:bottom w:type="dxa" w:w="80"/>
              <w:right w:type="dxa" w:w="120"/>
            </w:tcMar>
            <w:vAlign w:val="center"/>
          </w:tcPr>
          <w:p>
            <w:pPr>
              <w:spacing w:line="240"/>
            </w:pPr>
            <w:r>
              <w:t xml:space="preserve">Infrastructure Capacity</w:t>
            </w:r>
          </w:p>
        </w:tc>
        <w:tc>
          <w:tcPr>
            <w:tcMar>
              <w:top w:type="dxa" w:w="80"/>
              <w:left w:type="dxa" w:w="120"/>
              <w:bottom w:type="dxa" w:w="80"/>
              <w:right w:type="dxa" w:w="120"/>
            </w:tcMar>
            <w:vAlign w:val="center"/>
          </w:tcPr>
          <w:p>
            <w:pPr>
              <w:spacing w:line="240"/>
            </w:pPr>
            <w:r>
              <w:t xml:space="preserve">×2.5
(max 25)</w:t>
            </w:r>
          </w:p>
        </w:tc>
        <w:tc>
          <w:tcPr>
            <w:tcMar>
              <w:top w:type="dxa" w:w="80"/>
              <w:left w:type="dxa" w:w="120"/>
              <w:bottom w:type="dxa" w:w="80"/>
              <w:right w:type="dxa" w:w="120"/>
            </w:tcMar>
            <w:vAlign w:val="center"/>
          </w:tcPr>
          <w:p>
            <w:pPr>
              <w:spacing w:line="240"/>
            </w:pPr>
            <w:r>
              <w:t xml:space="preserve">Water, power, roads, emergency response — can the county physically support these uses without unacceptable public cost or risk?</w:t>
            </w:r>
          </w:p>
        </w:tc>
      </w:tr>
      <w:tr>
        <w:tc>
          <w:tcPr>
            <w:tcMar>
              <w:top w:type="dxa" w:w="80"/>
              <w:left w:type="dxa" w:w="120"/>
              <w:bottom w:type="dxa" w:w="80"/>
              <w:right w:type="dxa" w:w="120"/>
            </w:tcMar>
            <w:vAlign w:val="center"/>
          </w:tcPr>
          <w:p>
            <w:pPr>
              <w:spacing w:line="240"/>
            </w:pPr>
            <w:r>
              <w:t xml:space="preserve">Agricultural Protection</w:t>
            </w:r>
          </w:p>
        </w:tc>
        <w:tc>
          <w:tcPr>
            <w:tcMar>
              <w:top w:type="dxa" w:w="80"/>
              <w:left w:type="dxa" w:w="120"/>
              <w:bottom w:type="dxa" w:w="80"/>
              <w:right w:type="dxa" w:w="120"/>
            </w:tcMar>
            <w:vAlign w:val="center"/>
          </w:tcPr>
          <w:p>
            <w:pPr>
              <w:spacing w:line="240"/>
            </w:pPr>
            <w:r>
              <w:t xml:space="preserve">×2.0
(max 20)</w:t>
            </w:r>
          </w:p>
        </w:tc>
        <w:tc>
          <w:tcPr>
            <w:tcMar>
              <w:top w:type="dxa" w:w="80"/>
              <w:left w:type="dxa" w:w="120"/>
              <w:bottom w:type="dxa" w:w="80"/>
              <w:right w:type="dxa" w:w="120"/>
            </w:tcMar>
            <w:vAlign w:val="center"/>
          </w:tcPr>
          <w:p>
            <w:pPr>
              <w:spacing w:line="240"/>
            </w:pPr>
            <w:r>
              <w:t xml:space="preserve">Is irreplaceable farmland or irrigation infrastructure at genuine risk of permanent conversion?</w:t>
            </w:r>
          </w:p>
        </w:tc>
      </w:tr>
      <w:tr>
        <w:tc>
          <w:tcPr>
            <w:tcMar>
              <w:top w:type="dxa" w:w="80"/>
              <w:left w:type="dxa" w:w="120"/>
              <w:bottom w:type="dxa" w:w="80"/>
              <w:right w:type="dxa" w:w="120"/>
            </w:tcMar>
            <w:vAlign w:val="center"/>
          </w:tcPr>
          <w:p>
            <w:pPr>
              <w:spacing w:line="240"/>
            </w:pPr>
            <w:r>
              <w:t xml:space="preserve">Regulatory Capacity</w:t>
            </w:r>
          </w:p>
        </w:tc>
        <w:tc>
          <w:tcPr>
            <w:tcMar>
              <w:top w:type="dxa" w:w="80"/>
              <w:left w:type="dxa" w:w="120"/>
              <w:bottom w:type="dxa" w:w="80"/>
              <w:right w:type="dxa" w:w="120"/>
            </w:tcMar>
            <w:vAlign w:val="center"/>
          </w:tcPr>
          <w:p>
            <w:pPr>
              <w:spacing w:line="240"/>
            </w:pPr>
            <w:r>
              <w:t xml:space="preserve">×1.5
(max 15)</w:t>
            </w:r>
          </w:p>
        </w:tc>
        <w:tc>
          <w:tcPr>
            <w:tcMar>
              <w:top w:type="dxa" w:w="80"/>
              <w:left w:type="dxa" w:w="120"/>
              <w:bottom w:type="dxa" w:w="80"/>
              <w:right w:type="dxa" w:w="120"/>
            </w:tcMar>
            <w:vAlign w:val="center"/>
          </w:tcPr>
          <w:p>
            <w:pPr>
              <w:spacing w:line="240"/>
            </w:pPr>
            <w:r>
              <w:t xml:space="preserve">Does the county have the staff, expertise, and legal standing to evaluate, condition, and enforce complex project approvals?</w:t>
            </w:r>
          </w:p>
        </w:tc>
      </w:tr>
      <w:tr>
        <w:tc>
          <w:tcPr>
            <w:tcMar>
              <w:top w:type="dxa" w:w="80"/>
              <w:left w:type="dxa" w:w="120"/>
              <w:bottom w:type="dxa" w:w="80"/>
              <w:right w:type="dxa" w:w="120"/>
            </w:tcMar>
            <w:vAlign w:val="center"/>
          </w:tcPr>
          <w:p>
            <w:pPr>
              <w:spacing w:line="240"/>
            </w:pPr>
            <w:r>
              <w:t xml:space="preserve">Community/Plan
Alignment</w:t>
            </w:r>
          </w:p>
        </w:tc>
        <w:tc>
          <w:tcPr>
            <w:tcMar>
              <w:top w:type="dxa" w:w="80"/>
              <w:left w:type="dxa" w:w="120"/>
              <w:bottom w:type="dxa" w:w="80"/>
              <w:right w:type="dxa" w:w="120"/>
            </w:tcMar>
            <w:vAlign w:val="center"/>
          </w:tcPr>
          <w:p>
            <w:pPr>
              <w:spacing w:line="240"/>
            </w:pPr>
            <w:r>
              <w:t xml:space="preserve">×1.5
(max 15)</w:t>
            </w:r>
          </w:p>
        </w:tc>
        <w:tc>
          <w:tcPr>
            <w:tcMar>
              <w:top w:type="dxa" w:w="80"/>
              <w:left w:type="dxa" w:w="120"/>
              <w:bottom w:type="dxa" w:w="80"/>
              <w:right w:type="dxa" w:w="120"/>
            </w:tcMar>
            <w:vAlign w:val="center"/>
          </w:tcPr>
          <w:p>
            <w:pPr>
              <w:spacing w:line="240"/>
            </w:pPr>
            <w:r>
              <w:t xml:space="preserve">Does the comprehensive plan address these uses? Has the community expressed a clear preference through legitimate public process?</w:t>
            </w:r>
          </w:p>
        </w:tc>
      </w:tr>
      <w:tr>
        <w:tc>
          <w:tcPr>
            <w:tcMar>
              <w:top w:type="dxa" w:w="80"/>
              <w:left w:type="dxa" w:w="120"/>
              <w:bottom w:type="dxa" w:w="80"/>
              <w:right w:type="dxa" w:w="120"/>
            </w:tcMar>
            <w:vAlign w:val="center"/>
          </w:tcPr>
          <w:p>
            <w:pPr>
              <w:spacing w:line="240"/>
            </w:pPr>
            <w:r>
              <w:t xml:space="preserve">Economic Conditions</w:t>
            </w:r>
          </w:p>
        </w:tc>
        <w:tc>
          <w:tcPr>
            <w:tcMar>
              <w:top w:type="dxa" w:w="80"/>
              <w:left w:type="dxa" w:w="120"/>
              <w:bottom w:type="dxa" w:w="80"/>
              <w:right w:type="dxa" w:w="120"/>
            </w:tcMar>
            <w:vAlign w:val="center"/>
          </w:tcPr>
          <w:p>
            <w:pPr>
              <w:spacing w:line="240"/>
            </w:pPr>
            <w:r>
              <w:t xml:space="preserve">×1.5
(max 15)</w:t>
            </w:r>
          </w:p>
        </w:tc>
        <w:tc>
          <w:tcPr>
            <w:tcMar>
              <w:top w:type="dxa" w:w="80"/>
              <w:left w:type="dxa" w:w="120"/>
              <w:bottom w:type="dxa" w:w="80"/>
              <w:right w:type="dxa" w:w="120"/>
            </w:tcMar>
            <w:vAlign w:val="center"/>
          </w:tcPr>
          <w:p>
            <w:pPr>
              <w:spacing w:line="240"/>
            </w:pPr>
            <w:r>
              <w:t xml:space="preserve">Does the county have alternatives to this type of development? Would exclusion cause serious fiscal harm? </w:t>
            </w:r>
          </w:p>
          <w:p>
            <w:pPr>
              <w:spacing w:line="240"/>
            </w:pPr>
            <w:r>
              <w:t xml:space="preserve">NOTE: High scores argue AGAINST restriction. Inverted in formula: (10 − raw score) × 1.5.</w:t>
            </w:r>
          </w:p>
        </w:tc>
      </w:tr>
      <w:tr>
        <w:tc>
          <w:tcPr>
            <w:tcMar>
              <w:top w:type="dxa" w:w="80"/>
              <w:left w:type="dxa" w:w="120"/>
              <w:bottom w:type="dxa" w:w="80"/>
              <w:right w:type="dxa" w:w="120"/>
            </w:tcMar>
            <w:vAlign w:val="center"/>
          </w:tcPr>
          <w:p>
            <w:pPr>
              <w:spacing w:line="240"/>
            </w:pPr>
            <w:r>
              <w:t xml:space="preserve">Cumulative/Regional
Pressure</w:t>
            </w:r>
          </w:p>
        </w:tc>
        <w:tc>
          <w:tcPr>
            <w:tcMar>
              <w:top w:type="dxa" w:w="80"/>
              <w:left w:type="dxa" w:w="120"/>
              <w:bottom w:type="dxa" w:w="80"/>
              <w:right w:type="dxa" w:w="120"/>
            </w:tcMar>
            <w:vAlign w:val="center"/>
          </w:tcPr>
          <w:p>
            <w:pPr>
              <w:spacing w:line="240"/>
            </w:pPr>
            <w:r>
              <w:t xml:space="preserve">×1.0
(max 10)</w:t>
            </w:r>
          </w:p>
        </w:tc>
        <w:tc>
          <w:tcPr>
            <w:tcMar>
              <w:top w:type="dxa" w:w="80"/>
              <w:left w:type="dxa" w:w="120"/>
              <w:bottom w:type="dxa" w:w="80"/>
              <w:right w:type="dxa" w:w="120"/>
            </w:tcMar>
            <w:vAlign w:val="center"/>
          </w:tcPr>
          <w:p>
            <w:pPr>
              <w:spacing w:line="240"/>
            </w:pPr>
            <w:r>
              <w:t xml:space="preserve">How much development pressure already exists or is anticipated? Is the county at or near a saturation point?</w:t>
            </w:r>
          </w:p>
        </w:tc>
      </w:tr>
    </w:tbl>
    <w:p/>
    <w:p>
      <w:pPr>
        <w:spacing w:after="160" w:before="360" w:line="240"/>
      </w:pPr>
      <w:r>
        <w:t xml:space="preserve">Scoring Guide</w:t>
      </w:r>
    </w:p>
    <w:p>
      <w:pPr>
        <w:spacing w:after="120" w:line="240" w:lineRule="auto"/>
      </w:pPr>
      <w:r>
        <w:t xml:space="preserve">For each dimension, use the following anchored scoring rubric:</w:t>
      </w:r>
    </w:p>
    <w:p/>
    <w:p>
      <w:pPr>
        <w:spacing w:after="120" w:before="240" w:line="240"/>
      </w:pPr>
      <w:r>
        <w:t xml:space="preserve">Infrastructure Capacity (×2.5)</w:t>
      </w:r>
    </w:p>
    <w:p>
      <w:pPr>
        <w:spacing w:after="120" w:line="240" w:lineRule="auto"/>
      </w:pPr>
      <w:r>
        <w:t xml:space="preserve">0-2: No meaningful constraints. Infrastructure can accommodate these facility types with standard permitting.</w:t>
      </w:r>
    </w:p>
    <w:p>
      <w:pPr>
        <w:spacing w:after="120" w:line="240" w:lineRule="auto"/>
      </w:pPr>
      <w:r>
        <w:t xml:space="preserve">3-5: Moderate constraints exist but are addressable through conditions of approval or developer-funded improvements.</w:t>
      </w:r>
    </w:p>
    <w:p>
      <w:pPr>
        <w:spacing w:after="120" w:line="240" w:lineRule="auto"/>
      </w:pPr>
      <w:r>
        <w:t xml:space="preserve">6-8: Significant gaps in water, power, roads, or emergency services that cannot be fully mitigated by project conditions.</w:t>
      </w:r>
    </w:p>
    <w:p>
      <w:pPr>
        <w:spacing w:after="120" w:line="240" w:lineRule="auto"/>
      </w:pPr>
      <w:r>
        <w:t xml:space="preserve">9-10: Critical infrastructure deficits. Approval would impose unacceptable public costs or create genuine safety risks.</w:t>
      </w:r>
    </w:p>
    <w:p/>
    <w:p>
      <w:pPr>
        <w:spacing w:after="120" w:before="240" w:line="240"/>
      </w:pPr>
      <w:r>
        <w:t xml:space="preserve">Agricultural Protection (×2.0)</w:t>
      </w:r>
    </w:p>
    <w:p>
      <w:pPr>
        <w:spacing w:after="120" w:line="240" w:lineRule="auto"/>
      </w:pPr>
      <w:r>
        <w:t xml:space="preserve">0-2: Little or no prime farmland in proposed development areas; viable non-agricultural alternatives exist.</w:t>
      </w:r>
    </w:p>
    <w:p>
      <w:pPr>
        <w:spacing w:after="120" w:line="240" w:lineRule="auto"/>
      </w:pPr>
      <w:r>
        <w:t xml:space="preserve">3-5: Some prime farmland present; mitigation through siting standards or agricultural buffers is feasible.</w:t>
      </w:r>
    </w:p>
    <w:p>
      <w:pPr>
        <w:spacing w:after="120" w:line="240" w:lineRule="auto"/>
      </w:pPr>
      <w:r>
        <w:t xml:space="preserve">6-8: Significant prime farmland or irrigation infrastructure at risk; alternative sites are limited.</w:t>
      </w:r>
    </w:p>
    <w:p>
      <w:pPr>
        <w:spacing w:after="120" w:line="240" w:lineRule="auto"/>
      </w:pPr>
      <w:r>
        <w:t xml:space="preserve">9-10: Irreplaceable agricultural land, water rights, or infrastructure systems directly threatened; no viable alternatives.</w:t>
      </w:r>
    </w:p>
    <w:p/>
    <w:p>
      <w:pPr>
        <w:spacing w:after="120" w:before="240" w:line="240"/>
      </w:pPr>
      <w:r>
        <w:t xml:space="preserve">Regulatory Capacity (×1.5)</w:t>
      </w:r>
    </w:p>
    <w:p>
      <w:pPr>
        <w:spacing w:after="120" w:line="240" w:lineRule="auto"/>
      </w:pPr>
      <w:r>
        <w:t xml:space="preserve">0-2: County has experienced staff, access to technical expertise, and a strong track record on complex CUP enforcement.</w:t>
      </w:r>
    </w:p>
    <w:p>
      <w:pPr>
        <w:spacing w:after="120" w:line="240" w:lineRule="auto"/>
      </w:pPr>
      <w:r>
        <w:t xml:space="preserve">3-5: County has moderate capacity; can manage complex applications with outside assistance.</w:t>
      </w:r>
    </w:p>
    <w:p>
      <w:pPr>
        <w:spacing w:after="120" w:line="240" w:lineRule="auto"/>
      </w:pPr>
      <w:r>
        <w:t xml:space="preserve">6-8: Limited staff and expertise; track record on complex enforcement is weak; legal budget is constrained.</w:t>
      </w:r>
    </w:p>
    <w:p>
      <w:pPr>
        <w:spacing w:after="120" w:line="240" w:lineRule="auto"/>
      </w:pPr>
      <w:r>
        <w:t xml:space="preserve">9-10: County genuinely cannot evaluate these applications or enforce conditions; approvals would be issued without meaningful oversight.</w:t>
      </w:r>
    </w:p>
    <w:p/>
    <w:p>
      <w:pPr>
        <w:spacing w:after="120" w:before="240" w:line="240"/>
      </w:pPr>
      <w:r>
        <w:t xml:space="preserve">Community/Plan Alignment (×1.5)</w:t>
      </w:r>
    </w:p>
    <w:p>
      <w:pPr>
        <w:spacing w:after="120" w:line="240" w:lineRule="auto"/>
      </w:pPr>
      <w:r>
        <w:t xml:space="preserve">0-2: Comprehensive plan addresses these uses and community sentiment is neutral or supportive.</w:t>
      </w:r>
    </w:p>
    <w:p>
      <w:pPr>
        <w:spacing w:after="120" w:line="240" w:lineRule="auto"/>
      </w:pPr>
      <w:r>
        <w:t xml:space="preserve">3-5: Plan is silent or ambiguous; community sentiment is mixed with no clear mandate.</w:t>
      </w:r>
    </w:p>
    <w:p>
      <w:pPr>
        <w:spacing w:after="120" w:line="240" w:lineRule="auto"/>
      </w:pPr>
      <w:r>
        <w:t xml:space="preserve">6-8: Plan is inconsistent with these uses; substantial community opposition documented through public process.</w:t>
      </w:r>
    </w:p>
    <w:p>
      <w:pPr>
        <w:spacing w:after="120" w:line="240" w:lineRule="auto"/>
      </w:pPr>
      <w:r>
        <w:t xml:space="preserve">9-10: Plan explicitly discourages or opposes these uses; community has clearly and consistently opposed them.</w:t>
      </w:r>
    </w:p>
    <w:p/>
    <w:p>
      <w:pPr>
        <w:spacing w:after="120" w:before="240" w:line="240"/>
      </w:pPr>
      <w:r>
        <w:t xml:space="preserve">Economic Conditions (×1.5, INVERTED)</w:t>
      </w:r>
    </w:p>
    <w:p>
      <w:pPr>
        <w:spacing w:after="120" w:line="240" w:lineRule="auto"/>
      </w:pPr>
      <w:r>
        <w:t xml:space="preserve">0-2: County has a strong, diversified economy; is not fiscally dependent on this development type.</w:t>
      </w:r>
    </w:p>
    <w:p>
      <w:pPr>
        <w:spacing w:after="120" w:line="240" w:lineRule="auto"/>
      </w:pPr>
      <w:r>
        <w:t xml:space="preserve">3-5: County is economically stable but would benefit from additional assessed valuation and employment.</w:t>
      </w:r>
    </w:p>
    <w:p>
      <w:pPr>
        <w:spacing w:after="120" w:line="240" w:lineRule="auto"/>
      </w:pPr>
      <w:r>
        <w:t xml:space="preserve">6-8: County faces fiscal stress; exclusion of these uses would meaningfully harm the tax base.</w:t>
      </w:r>
    </w:p>
    <w:p>
      <w:pPr>
        <w:spacing w:after="120" w:line="240" w:lineRule="auto"/>
      </w:pPr>
      <w:r>
        <w:t xml:space="preserve">9-10: County is in serious fiscal distress; these projects represent a significant economic lifeline.</w:t>
      </w:r>
    </w:p>
    <w:p>
      <w:pPr>
        <w:spacing w:after="120" w:line="240" w:lineRule="auto"/>
      </w:pPr>
      <w:r>
        <w:t xml:space="preserve">IMPORTANT: This dimension is inverted in the formula. A low raw score (strong economy) produces a HIGH weighted contribution to the CSPM, supporting restriction.</w:t>
      </w:r>
    </w:p>
    <w:p/>
    <w:p>
      <w:pPr>
        <w:spacing w:after="120" w:before="240" w:line="240"/>
      </w:pPr>
      <w:r>
        <w:t xml:space="preserve">Cumulative/Regional Pressure (×1.0)</w:t>
      </w:r>
    </w:p>
    <w:p>
      <w:pPr>
        <w:spacing w:after="120" w:line="240" w:lineRule="auto"/>
      </w:pPr>
      <w:r>
        <w:t xml:space="preserve">0-2: Little development pressure; county is not a regional target; few applications pending or anticipated.</w:t>
      </w:r>
    </w:p>
    <w:p>
      <w:pPr>
        <w:spacing w:after="120" w:line="240" w:lineRule="auto"/>
      </w:pPr>
      <w:r>
        <w:t xml:space="preserve">3-5: Moderate pressure; several applications have been filed; regional interest is growing.</w:t>
      </w:r>
    </w:p>
    <w:p>
      <w:pPr>
        <w:spacing w:after="120" w:line="240" w:lineRule="auto"/>
      </w:pPr>
      <w:r>
        <w:t xml:space="preserve">6-8: High pressure; county is in a recognized siting corridor; multiple large-scale projects are in the pipeline.</w:t>
      </w:r>
    </w:p>
    <w:p>
      <w:pPr>
        <w:spacing w:after="120" w:line="240" w:lineRule="auto"/>
      </w:pPr>
      <w:r>
        <w:t xml:space="preserve">9-10: Saturation pressure; cumulative footprint of pending or approved projects approaches or exceeds sustainable limits.</w:t>
      </w:r>
    </w:p>
    <w:p/>
    <w:p>
      <w:pPr>
        <w:spacing w:after="160" w:before="360" w:line="240"/>
      </w:pPr>
      <w:r>
        <w:t xml:space="preserve">The CSPM Formula</w:t>
      </w:r>
    </w:p>
    <w:p>
      <w:pPr>
        <w:spacing w:after="120" w:line="240"/>
      </w:pPr>
      <w:r>
        <w:t xml:space="preserve">CSPM = (Infrastructure × 2.5) + (Agriculture × 2.0) + (Regulatory Capacity × 1.5) + (Community Alignment × 1.5) + ((10 − Economic Score) × 1.5) + (Cumulative Pressure × 1.0)</w:t>
      </w:r>
    </w:p>
    <w:p>
      <w:pPr>
        <w:spacing w:after="120" w:line="240" w:lineRule="auto"/>
      </w:pPr>
      <w:r>
        <w:t xml:space="preserve">Maximum possible score: 100</w:t>
      </w:r>
    </w:p>
    <w:p/>
    <w:p>
      <w:pPr>
        <w:spacing w:after="160" w:before="360" w:line="240"/>
      </w:pPr>
      <w:r>
        <w:t xml:space="preserve">Score Thresholds</w:t>
      </w:r>
    </w:p>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shd w:fill="E7E6E6" w:val="clear"/>
            <w:tcMar>
              <w:top w:type="dxa" w:w="80"/>
              <w:left w:type="dxa" w:w="120"/>
              <w:bottom w:type="dxa" w:w="80"/>
              <w:right w:type="dxa" w:w="120"/>
            </w:tcMar>
            <w:vAlign w:val="center"/>
          </w:tcPr>
          <w:p>
            <w:pPr>
              <w:spacing w:line="240"/>
            </w:pPr>
            <w:r>
              <w:t xml:space="preserve">Score Range</w:t>
            </w:r>
          </w:p>
        </w:tc>
        <w:tc>
          <w:tcPr>
            <w:shd w:fill="E7E6E6" w:val="clear"/>
            <w:tcMar>
              <w:top w:type="dxa" w:w="80"/>
              <w:left w:type="dxa" w:w="120"/>
              <w:bottom w:type="dxa" w:w="80"/>
              <w:right w:type="dxa" w:w="120"/>
            </w:tcMar>
            <w:vAlign w:val="center"/>
          </w:tcPr>
          <w:p>
            <w:pPr>
              <w:spacing w:line="240"/>
            </w:pPr>
            <w:r>
              <w:t xml:space="preserve">Posture</w:t>
            </w:r>
          </w:p>
        </w:tc>
        <w:tc>
          <w:tcPr>
            <w:shd w:fill="E7E6E6" w:val="clear"/>
            <w:tcMar>
              <w:top w:type="dxa" w:w="80"/>
              <w:left w:type="dxa" w:w="120"/>
              <w:bottom w:type="dxa" w:w="80"/>
              <w:right w:type="dxa" w:w="120"/>
            </w:tcMar>
            <w:vAlign w:val="center"/>
          </w:tcPr>
          <w:p>
            <w:pPr>
              <w:spacing w:line="240"/>
            </w:pPr>
            <w:r>
              <w:t xml:space="preserve">Recommended Response</w:t>
            </w:r>
          </w:p>
        </w:tc>
      </w:tr>
      <w:tr>
        <w:tc>
          <w:tcPr>
            <w:tcMar>
              <w:top w:type="dxa" w:w="80"/>
              <w:left w:type="dxa" w:w="120"/>
              <w:bottom w:type="dxa" w:w="80"/>
              <w:right w:type="dxa" w:w="120"/>
            </w:tcMar>
            <w:vAlign w:val="center"/>
          </w:tcPr>
          <w:p>
            <w:pPr>
              <w:spacing w:line="240"/>
            </w:pPr>
            <w:r>
              <w:t xml:space="preserve">0-24</w:t>
            </w:r>
          </w:p>
        </w:tc>
        <w:tc>
          <w:tcPr>
            <w:tcMar>
              <w:top w:type="dxa" w:w="80"/>
              <w:left w:type="dxa" w:w="120"/>
              <w:bottom w:type="dxa" w:w="80"/>
              <w:right w:type="dxa" w:w="120"/>
            </w:tcMar>
            <w:vAlign w:val="center"/>
          </w:tcPr>
          <w:p>
            <w:pPr>
              <w:spacing w:line="240"/>
            </w:pPr>
            <w:r>
              <w:t xml:space="preserve">Open for Development</w:t>
            </w:r>
          </w:p>
        </w:tc>
        <w:tc>
          <w:tcPr>
            <w:tcMar>
              <w:top w:type="dxa" w:w="80"/>
              <w:left w:type="dxa" w:w="120"/>
              <w:bottom w:type="dxa" w:w="80"/>
              <w:right w:type="dxa" w:w="120"/>
            </w:tcMar>
            <w:vAlign w:val="center"/>
          </w:tcPr>
          <w:p>
            <w:pPr>
              <w:spacing w:line="240"/>
            </w:pPr>
            <w:r>
              <w:t xml:space="preserve">Standards-based CUP framework. Welcome applications. Focus on protective conditions.</w:t>
            </w:r>
          </w:p>
        </w:tc>
      </w:tr>
      <w:tr>
        <w:tc>
          <w:tcPr>
            <w:tcMar>
              <w:top w:type="dxa" w:w="80"/>
              <w:left w:type="dxa" w:w="120"/>
              <w:bottom w:type="dxa" w:w="80"/>
              <w:right w:type="dxa" w:w="120"/>
            </w:tcMar>
            <w:vAlign w:val="center"/>
          </w:tcPr>
          <w:p>
            <w:pPr>
              <w:spacing w:line="240"/>
            </w:pPr>
            <w:r>
              <w:t xml:space="preserve">25-44</w:t>
            </w:r>
          </w:p>
        </w:tc>
        <w:tc>
          <w:tcPr>
            <w:tcMar>
              <w:top w:type="dxa" w:w="80"/>
              <w:left w:type="dxa" w:w="120"/>
              <w:bottom w:type="dxa" w:w="80"/>
              <w:right w:type="dxa" w:w="120"/>
            </w:tcMar>
            <w:vAlign w:val="center"/>
          </w:tcPr>
          <w:p>
            <w:pPr>
              <w:spacing w:line="240"/>
            </w:pPr>
            <w:r>
              <w:t xml:space="preserve">Conditional Development</w:t>
            </w:r>
          </w:p>
        </w:tc>
        <w:tc>
          <w:tcPr>
            <w:tcMar>
              <w:top w:type="dxa" w:w="80"/>
              <w:left w:type="dxa" w:w="120"/>
              <w:bottom w:type="dxa" w:w="80"/>
              <w:right w:type="dxa" w:w="120"/>
            </w:tcMar>
            <w:vAlign w:val="center"/>
          </w:tcPr>
          <w:p>
            <w:pPr>
              <w:spacing w:line="240"/>
            </w:pPr>
            <w:r>
              <w:t xml:space="preserve">Strong CUP process with technical standards. Consider tiered classification. Require independent technical review.</w:t>
            </w:r>
          </w:p>
        </w:tc>
      </w:tr>
      <w:tr>
        <w:tc>
          <w:tcPr>
            <w:tcMar>
              <w:top w:type="dxa" w:w="80"/>
              <w:left w:type="dxa" w:w="120"/>
              <w:bottom w:type="dxa" w:w="80"/>
              <w:right w:type="dxa" w:w="120"/>
            </w:tcMar>
            <w:vAlign w:val="center"/>
          </w:tcPr>
          <w:p>
            <w:pPr>
              <w:spacing w:line="240"/>
            </w:pPr>
            <w:r>
              <w:t xml:space="preserve">45-64</w:t>
            </w:r>
          </w:p>
        </w:tc>
        <w:tc>
          <w:tcPr>
            <w:tcMar>
              <w:top w:type="dxa" w:w="80"/>
              <w:left w:type="dxa" w:w="120"/>
              <w:bottom w:type="dxa" w:w="80"/>
              <w:right w:type="dxa" w:w="120"/>
            </w:tcMar>
            <w:vAlign w:val="center"/>
          </w:tcPr>
          <w:p>
            <w:pPr>
              <w:spacing w:line="240"/>
            </w:pPr>
            <w:r>
              <w:t xml:space="preserve">Highly Restricted</w:t>
            </w:r>
          </w:p>
        </w:tc>
        <w:tc>
          <w:tcPr>
            <w:tcMar>
              <w:top w:type="dxa" w:w="80"/>
              <w:left w:type="dxa" w:w="120"/>
              <w:bottom w:type="dxa" w:w="80"/>
              <w:right w:type="dxa" w:w="120"/>
            </w:tcMar>
            <w:vAlign w:val="center"/>
          </w:tcPr>
          <w:p>
            <w:pPr>
              <w:spacing w:line="240"/>
            </w:pPr>
            <w:r>
              <w:t xml:space="preserve">Limit permitted areas through overlay districts. Establish moratorium while plan amendments completed. Require extraordinary findings.</w:t>
            </w:r>
          </w:p>
        </w:tc>
      </w:tr>
      <w:tr>
        <w:tc>
          <w:tcPr>
            <w:tcMar>
              <w:top w:type="dxa" w:w="80"/>
              <w:left w:type="dxa" w:w="120"/>
              <w:bottom w:type="dxa" w:w="80"/>
              <w:right w:type="dxa" w:w="120"/>
            </w:tcMar>
            <w:vAlign w:val="center"/>
          </w:tcPr>
          <w:p>
            <w:pPr>
              <w:spacing w:line="240"/>
            </w:pPr>
            <w:r>
              <w:t xml:space="preserve">65-79</w:t>
            </w:r>
          </w:p>
        </w:tc>
        <w:tc>
          <w:tcPr>
            <w:tcMar>
              <w:top w:type="dxa" w:w="80"/>
              <w:left w:type="dxa" w:w="120"/>
              <w:bottom w:type="dxa" w:w="80"/>
              <w:right w:type="dxa" w:w="120"/>
            </w:tcMar>
            <w:vAlign w:val="center"/>
          </w:tcPr>
          <w:p>
            <w:pPr>
              <w:spacing w:line="240"/>
            </w:pPr>
            <w:r>
              <w:t xml:space="preserve">Presumption Against Approval</w:t>
            </w:r>
          </w:p>
        </w:tc>
        <w:tc>
          <w:tcPr>
            <w:tcMar>
              <w:top w:type="dxa" w:w="80"/>
              <w:left w:type="dxa" w:w="120"/>
              <w:bottom w:type="dxa" w:w="80"/>
              <w:right w:type="dxa" w:w="120"/>
            </w:tcMar>
            <w:vAlign w:val="center"/>
          </w:tcPr>
          <w:p>
            <w:pPr>
              <w:spacing w:line="240"/>
            </w:pPr>
            <w:r>
              <w:t xml:space="preserve">Default posture is denial unless applicant demonstrates exceptional public benefit and fully mitigates all identified harms.</w:t>
            </w:r>
          </w:p>
        </w:tc>
      </w:tr>
      <w:tr>
        <w:tc>
          <w:tcPr>
            <w:tcMar>
              <w:top w:type="dxa" w:w="80"/>
              <w:left w:type="dxa" w:w="120"/>
              <w:bottom w:type="dxa" w:w="80"/>
              <w:right w:type="dxa" w:w="120"/>
            </w:tcMar>
            <w:vAlign w:val="center"/>
          </w:tcPr>
          <w:p>
            <w:pPr>
              <w:spacing w:line="240"/>
            </w:pPr>
            <w:r>
              <w:t xml:space="preserve">80-100</w:t>
            </w:r>
          </w:p>
        </w:tc>
        <w:tc>
          <w:tcPr>
            <w:tcMar>
              <w:top w:type="dxa" w:w="80"/>
              <w:left w:type="dxa" w:w="120"/>
              <w:bottom w:type="dxa" w:w="80"/>
              <w:right w:type="dxa" w:w="120"/>
            </w:tcMar>
            <w:vAlign w:val="center"/>
          </w:tcPr>
          <w:p>
            <w:pPr>
              <w:spacing w:line="240"/>
            </w:pPr>
            <w:r>
              <w:t xml:space="preserve">Ban Justified</w:t>
            </w:r>
          </w:p>
        </w:tc>
        <w:tc>
          <w:tcPr>
            <w:tcMar>
              <w:top w:type="dxa" w:w="80"/>
              <w:left w:type="dxa" w:w="120"/>
              <w:bottom w:type="dxa" w:w="80"/>
              <w:right w:type="dxa" w:w="120"/>
            </w:tcMar>
            <w:vAlign w:val="center"/>
          </w:tcPr>
          <w:p>
            <w:pPr>
              <w:spacing w:line="240"/>
            </w:pPr>
            <w:r>
              <w:t xml:space="preserve">Evidence base sufficient for blanket prohibition. Document record thoroughly. Amend comprehensive plan.</w:t>
            </w:r>
          </w:p>
        </w:tc>
      </w:tr>
    </w:tbl>
    <w:p/>
    <w:p>
      <w:pPr>
        <w:spacing w:after="120" w:line="240" w:lineRule="auto"/>
      </w:pPr>
      <w:r>
        <w:t xml:space="preserve">Important caveat: No single dimension score should automatically trigger a ban. Context matters.</w:t>
      </w:r>
    </w:p>
    <w:p/>
    <w:p>
      <w:pPr>
        <w:spacing w:after="160" w:before="360" w:line="240"/>
      </w:pPr>
      <w:r>
        <w:t xml:space="preserve">Application to Jerome County</w:t>
      </w:r>
    </w:p>
    <w:p>
      <w:pPr>
        <w:spacing w:after="120" w:line="240" w:lineRule="auto"/>
      </w:pPr>
      <w:r>
        <w:t xml:space="preserve">THIS IS THE MOST IMPORTANT SECTION. Apply the CSPM to Jerome County with documented findings for each dimension.</w:t>
      </w:r>
    </w:p>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shd w:fill="E7E6E6" w:val="clear"/>
            <w:tcMar>
              <w:top w:type="dxa" w:w="80"/>
              <w:left w:type="dxa" w:w="120"/>
              <w:bottom w:type="dxa" w:w="80"/>
              <w:right w:type="dxa" w:w="120"/>
            </w:tcMar>
            <w:vAlign w:val="center"/>
          </w:tcPr>
          <w:p>
            <w:pPr>
              <w:spacing w:line="240"/>
            </w:pPr>
            <w:r>
              <w:t xml:space="preserve">Dimension</w:t>
            </w:r>
          </w:p>
        </w:tc>
        <w:tc>
          <w:tcPr>
            <w:shd w:fill="E7E6E6" w:val="clear"/>
            <w:tcMar>
              <w:top w:type="dxa" w:w="80"/>
              <w:left w:type="dxa" w:w="120"/>
              <w:bottom w:type="dxa" w:w="80"/>
              <w:right w:type="dxa" w:w="120"/>
            </w:tcMar>
            <w:vAlign w:val="center"/>
          </w:tcPr>
          <w:p>
            <w:pPr>
              <w:spacing w:line="240"/>
            </w:pPr>
            <w:r>
              <w:t xml:space="preserve">Raw
Score</w:t>
            </w:r>
          </w:p>
        </w:tc>
        <w:tc>
          <w:tcPr>
            <w:shd w:fill="E7E6E6" w:val="clear"/>
            <w:tcMar>
              <w:top w:type="dxa" w:w="80"/>
              <w:left w:type="dxa" w:w="120"/>
              <w:bottom w:type="dxa" w:w="80"/>
              <w:right w:type="dxa" w:w="120"/>
            </w:tcMar>
            <w:vAlign w:val="center"/>
          </w:tcPr>
          <w:p>
            <w:pPr>
              <w:spacing w:line="240"/>
            </w:pPr>
            <w:r>
              <w:t xml:space="preserve">Weight</w:t>
            </w:r>
          </w:p>
        </w:tc>
        <w:tc>
          <w:tcPr>
            <w:shd w:fill="E7E6E6" w:val="clear"/>
            <w:tcMar>
              <w:top w:type="dxa" w:w="80"/>
              <w:left w:type="dxa" w:w="120"/>
              <w:bottom w:type="dxa" w:w="80"/>
              <w:right w:type="dxa" w:w="120"/>
            </w:tcMar>
            <w:vAlign w:val="center"/>
          </w:tcPr>
          <w:p>
            <w:pPr>
              <w:spacing w:line="240"/>
            </w:pPr>
            <w:r>
              <w:t xml:space="preserve">Weighted
Score</w:t>
            </w:r>
          </w:p>
        </w:tc>
        <w:tc>
          <w:tcPr>
            <w:shd w:fill="E7E6E6" w:val="clear"/>
            <w:tcMar>
              <w:top w:type="dxa" w:w="80"/>
              <w:left w:type="dxa" w:w="120"/>
              <w:bottom w:type="dxa" w:w="80"/>
              <w:right w:type="dxa" w:w="120"/>
            </w:tcMar>
            <w:vAlign w:val="center"/>
          </w:tcPr>
          <w:p>
            <w:pPr>
              <w:spacing w:line="240"/>
            </w:pPr>
            <w:r>
              <w:t xml:space="preserve">Basis</w:t>
            </w:r>
          </w:p>
        </w:tc>
      </w:tr>
      <w:tr>
        <w:tc>
          <w:tcPr>
            <w:tcMar>
              <w:top w:type="dxa" w:w="80"/>
              <w:left w:type="dxa" w:w="120"/>
              <w:bottom w:type="dxa" w:w="80"/>
              <w:right w:type="dxa" w:w="120"/>
            </w:tcMar>
            <w:vAlign w:val="center"/>
          </w:tcPr>
          <w:p>
            <w:pPr>
              <w:spacing w:line="240"/>
            </w:pPr>
            <w:r>
              <w:t xml:space="preserve">Infrastructure Capacity</w:t>
            </w:r>
          </w:p>
        </w:tc>
        <w:tc>
          <w:tcPr>
            <w:tcMar>
              <w:top w:type="dxa" w:w="80"/>
              <w:left w:type="dxa" w:w="120"/>
              <w:bottom w:type="dxa" w:w="80"/>
              <w:right w:type="dxa" w:w="120"/>
            </w:tcMar>
            <w:vAlign w:val="center"/>
          </w:tcPr>
          <w:p>
            <w:pPr>
              <w:spacing w:line="240"/>
            </w:pPr>
            <w:r>
              <w:t xml:space="preserve">8</w:t>
            </w:r>
          </w:p>
        </w:tc>
        <w:tc>
          <w:tcPr>
            <w:tcMar>
              <w:top w:type="dxa" w:w="80"/>
              <w:left w:type="dxa" w:w="120"/>
              <w:bottom w:type="dxa" w:w="80"/>
              <w:right w:type="dxa" w:w="120"/>
            </w:tcMar>
            <w:vAlign w:val="center"/>
          </w:tcPr>
          <w:p>
            <w:pPr>
              <w:spacing w:line="240"/>
            </w:pPr>
            <w:r>
              <w:t xml:space="preserve">×2.5</w:t>
            </w:r>
          </w:p>
        </w:tc>
        <w:tc>
          <w:tcPr>
            <w:tcMar>
              <w:top w:type="dxa" w:w="80"/>
              <w:left w:type="dxa" w:w="120"/>
              <w:bottom w:type="dxa" w:w="80"/>
              <w:right w:type="dxa" w:w="120"/>
            </w:tcMar>
            <w:vAlign w:val="center"/>
          </w:tcPr>
          <w:p>
            <w:pPr>
              <w:spacing w:line="240"/>
            </w:pPr>
            <w:r>
              <w:t xml:space="preserve">20.0</w:t>
            </w:r>
          </w:p>
        </w:tc>
        <w:tc>
          <w:tcPr>
            <w:tcMar>
              <w:top w:type="dxa" w:w="80"/>
              <w:left w:type="dxa" w:w="120"/>
              <w:bottom w:type="dxa" w:w="80"/>
              <w:right w:type="dxa" w:w="120"/>
            </w:tcMar>
            <w:vAlign w:val="center"/>
          </w:tcPr>
          <w:p>
            <w:pPr>
              <w:spacing w:line="240"/>
            </w:pPr>
            <w:r>
              <w:t xml:space="preserve">ESPA aquifer in 75,300 AF annual shortfall. Idaho Power projecting 50-75% capacity increase. Rural road network not designed for industrial traffic. Rural fire departments lack BESS/industrial response capability.</w:t>
            </w:r>
          </w:p>
        </w:tc>
      </w:tr>
      <w:tr>
        <w:tc>
          <w:tcPr>
            <w:tcMar>
              <w:top w:type="dxa" w:w="80"/>
              <w:left w:type="dxa" w:w="120"/>
              <w:bottom w:type="dxa" w:w="80"/>
              <w:right w:type="dxa" w:w="120"/>
            </w:tcMar>
            <w:vAlign w:val="center"/>
          </w:tcPr>
          <w:p>
            <w:pPr>
              <w:spacing w:line="240"/>
            </w:pPr>
            <w:r>
              <w:t xml:space="preserve">Agricultural Protection</w:t>
            </w:r>
          </w:p>
        </w:tc>
        <w:tc>
          <w:tcPr>
            <w:tcMar>
              <w:top w:type="dxa" w:w="80"/>
              <w:left w:type="dxa" w:w="120"/>
              <w:bottom w:type="dxa" w:w="80"/>
              <w:right w:type="dxa" w:w="120"/>
            </w:tcMar>
            <w:vAlign w:val="center"/>
          </w:tcPr>
          <w:p>
            <w:pPr>
              <w:spacing w:line="240"/>
            </w:pPr>
            <w:r>
              <w:t xml:space="preserve">9</w:t>
            </w:r>
          </w:p>
        </w:tc>
        <w:tc>
          <w:tcPr>
            <w:tcMar>
              <w:top w:type="dxa" w:w="80"/>
              <w:left w:type="dxa" w:w="120"/>
              <w:bottom w:type="dxa" w:w="80"/>
              <w:right w:type="dxa" w:w="120"/>
            </w:tcMar>
            <w:vAlign w:val="center"/>
          </w:tcPr>
          <w:p>
            <w:pPr>
              <w:spacing w:line="240"/>
            </w:pPr>
            <w:r>
              <w:t xml:space="preserve">×2.0</w:t>
            </w:r>
          </w:p>
        </w:tc>
        <w:tc>
          <w:tcPr>
            <w:tcMar>
              <w:top w:type="dxa" w:w="80"/>
              <w:left w:type="dxa" w:w="120"/>
              <w:bottom w:type="dxa" w:w="80"/>
              <w:right w:type="dxa" w:w="120"/>
            </w:tcMar>
            <w:vAlign w:val="center"/>
          </w:tcPr>
          <w:p>
            <w:pPr>
              <w:spacing w:line="240"/>
            </w:pPr>
            <w:r>
              <w:t xml:space="preserve">18.0</w:t>
            </w:r>
          </w:p>
        </w:tc>
        <w:tc>
          <w:tcPr>
            <w:tcMar>
              <w:top w:type="dxa" w:w="80"/>
              <w:left w:type="dxa" w:w="120"/>
              <w:bottom w:type="dxa" w:w="80"/>
              <w:right w:type="dxa" w:w="120"/>
            </w:tcMar>
            <w:vAlign w:val="center"/>
          </w:tcPr>
          <w:p>
            <w:pPr>
              <w:spacing w:line="240"/>
            </w:pPr>
            <w:r>
              <w:t xml:space="preserve">Jerome County contains significant Class I and Class II agricultural soils. Irrigated cropland is among the most productive in the nation. Conversion is permanent — topsoil removal for industrial use cannot be reversed. No viable alternative locations for agriculture.</w:t>
            </w:r>
          </w:p>
        </w:tc>
      </w:tr>
      <w:tr>
        <w:tc>
          <w:tcPr>
            <w:tcMar>
              <w:top w:type="dxa" w:w="80"/>
              <w:left w:type="dxa" w:w="120"/>
              <w:bottom w:type="dxa" w:w="80"/>
              <w:right w:type="dxa" w:w="120"/>
            </w:tcMar>
            <w:vAlign w:val="center"/>
          </w:tcPr>
          <w:p>
            <w:pPr>
              <w:spacing w:line="240"/>
            </w:pPr>
            <w:r>
              <w:t xml:space="preserve">Regulatory Capacity</w:t>
            </w:r>
          </w:p>
        </w:tc>
        <w:tc>
          <w:tcPr>
            <w:tcMar>
              <w:top w:type="dxa" w:w="80"/>
              <w:left w:type="dxa" w:w="120"/>
              <w:bottom w:type="dxa" w:w="80"/>
              <w:right w:type="dxa" w:w="120"/>
            </w:tcMar>
            <w:vAlign w:val="center"/>
          </w:tcPr>
          <w:p>
            <w:pPr>
              <w:spacing w:line="240"/>
            </w:pPr>
            <w:r>
              <w:t xml:space="preserve">7</w:t>
            </w:r>
          </w:p>
        </w:tc>
        <w:tc>
          <w:tcPr>
            <w:tcMar>
              <w:top w:type="dxa" w:w="80"/>
              <w:left w:type="dxa" w:w="120"/>
              <w:bottom w:type="dxa" w:w="80"/>
              <w:right w:type="dxa" w:w="120"/>
            </w:tcMar>
            <w:vAlign w:val="center"/>
          </w:tcPr>
          <w:p>
            <w:pPr>
              <w:spacing w:line="240"/>
            </w:pPr>
            <w:r>
              <w:t xml:space="preserve">×1.5</w:t>
            </w:r>
          </w:p>
        </w:tc>
        <w:tc>
          <w:tcPr>
            <w:tcMar>
              <w:top w:type="dxa" w:w="80"/>
              <w:left w:type="dxa" w:w="120"/>
              <w:bottom w:type="dxa" w:w="80"/>
              <w:right w:type="dxa" w:w="120"/>
            </w:tcMar>
            <w:vAlign w:val="center"/>
          </w:tcPr>
          <w:p>
            <w:pPr>
              <w:spacing w:line="240"/>
            </w:pPr>
            <w:r>
              <w:t xml:space="preserve">10.5</w:t>
            </w:r>
          </w:p>
        </w:tc>
        <w:tc>
          <w:tcPr>
            <w:tcMar>
              <w:top w:type="dxa" w:w="80"/>
              <w:left w:type="dxa" w:w="120"/>
              <w:bottom w:type="dxa" w:w="80"/>
              <w:right w:type="dxa" w:w="120"/>
            </w:tcMar>
            <w:vAlign w:val="center"/>
          </w:tcPr>
          <w:p>
            <w:pPr>
              <w:spacing w:line="240"/>
            </w:pPr>
            <w:r>
              <w:t xml:space="preserve">Small county staff. Limited technical expertise for evaluating complex energy applications. No dedicated environmental review capability. Legal budget constrained. Draft P&amp;Z recommendations contained significant gaps.</w:t>
            </w:r>
          </w:p>
        </w:tc>
      </w:tr>
      <w:tr>
        <w:tc>
          <w:tcPr>
            <w:tcMar>
              <w:top w:type="dxa" w:w="80"/>
              <w:left w:type="dxa" w:w="120"/>
              <w:bottom w:type="dxa" w:w="80"/>
              <w:right w:type="dxa" w:w="120"/>
            </w:tcMar>
            <w:vAlign w:val="center"/>
          </w:tcPr>
          <w:p>
            <w:pPr>
              <w:spacing w:line="240"/>
            </w:pPr>
            <w:r>
              <w:t xml:space="preserve">Community/Plan Alignment</w:t>
            </w:r>
          </w:p>
        </w:tc>
        <w:tc>
          <w:tcPr>
            <w:tcMar>
              <w:top w:type="dxa" w:w="80"/>
              <w:left w:type="dxa" w:w="120"/>
              <w:bottom w:type="dxa" w:w="80"/>
              <w:right w:type="dxa" w:w="120"/>
            </w:tcMar>
            <w:vAlign w:val="center"/>
          </w:tcPr>
          <w:p>
            <w:pPr>
              <w:spacing w:line="240"/>
            </w:pPr>
            <w:r>
              <w:t xml:space="preserve">9</w:t>
            </w:r>
          </w:p>
        </w:tc>
        <w:tc>
          <w:tcPr>
            <w:tcMar>
              <w:top w:type="dxa" w:w="80"/>
              <w:left w:type="dxa" w:w="120"/>
              <w:bottom w:type="dxa" w:w="80"/>
              <w:right w:type="dxa" w:w="120"/>
            </w:tcMar>
            <w:vAlign w:val="center"/>
          </w:tcPr>
          <w:p>
            <w:pPr>
              <w:spacing w:line="240"/>
            </w:pPr>
            <w:r>
              <w:t xml:space="preserve">×1.5</w:t>
            </w:r>
          </w:p>
        </w:tc>
        <w:tc>
          <w:tcPr>
            <w:tcMar>
              <w:top w:type="dxa" w:w="80"/>
              <w:left w:type="dxa" w:w="120"/>
              <w:bottom w:type="dxa" w:w="80"/>
              <w:right w:type="dxa" w:w="120"/>
            </w:tcMar>
            <w:vAlign w:val="center"/>
          </w:tcPr>
          <w:p>
            <w:pPr>
              <w:spacing w:line="240"/>
            </w:pPr>
            <w:r>
              <w:t xml:space="preserve">13.5</w:t>
            </w:r>
          </w:p>
        </w:tc>
        <w:tc>
          <w:tcPr>
            <w:tcMar>
              <w:top w:type="dxa" w:w="80"/>
              <w:left w:type="dxa" w:w="120"/>
              <w:bottom w:type="dxa" w:w="80"/>
              <w:right w:type="dxa" w:w="120"/>
            </w:tcMar>
            <w:vAlign w:val="center"/>
          </w:tcPr>
          <w:p>
            <w:pPr>
              <w:spacing w:line="240"/>
            </w:pPr>
            <w:r>
              <w:t xml:space="preserve">93.7% oppose large-scale energy in ag zones. 90.8% want all residents notified. 80% say rules not strict enough. 92.3% concerned about BESS safety. Community has spoken clearly and consistently through documented survey.</w:t>
            </w:r>
          </w:p>
        </w:tc>
      </w:tr>
      <w:tr>
        <w:tc>
          <w:tcPr>
            <w:tcMar>
              <w:top w:type="dxa" w:w="80"/>
              <w:left w:type="dxa" w:w="120"/>
              <w:bottom w:type="dxa" w:w="80"/>
              <w:right w:type="dxa" w:w="120"/>
            </w:tcMar>
            <w:vAlign w:val="center"/>
          </w:tcPr>
          <w:p>
            <w:pPr>
              <w:spacing w:line="240"/>
            </w:pPr>
            <w:r>
              <w:t xml:space="preserve">Economic Conditions
(inverted: 8)</w:t>
            </w:r>
          </w:p>
        </w:tc>
        <w:tc>
          <w:tcPr>
            <w:tcMar>
              <w:top w:type="dxa" w:w="80"/>
              <w:left w:type="dxa" w:w="120"/>
              <w:bottom w:type="dxa" w:w="80"/>
              <w:right w:type="dxa" w:w="120"/>
            </w:tcMar>
            <w:vAlign w:val="center"/>
          </w:tcPr>
          <w:p>
            <w:pPr>
              <w:spacing w:line="240"/>
            </w:pPr>
            <w:r>
              <w:t xml:space="preserve">2</w:t>
            </w:r>
          </w:p>
        </w:tc>
        <w:tc>
          <w:tcPr>
            <w:tcMar>
              <w:top w:type="dxa" w:w="80"/>
              <w:left w:type="dxa" w:w="120"/>
              <w:bottom w:type="dxa" w:w="80"/>
              <w:right w:type="dxa" w:w="120"/>
            </w:tcMar>
            <w:vAlign w:val="center"/>
          </w:tcPr>
          <w:p>
            <w:pPr>
              <w:spacing w:line="240"/>
            </w:pPr>
            <w:r>
              <w:t xml:space="preserve">×1.5</w:t>
            </w:r>
          </w:p>
        </w:tc>
        <w:tc>
          <w:tcPr>
            <w:tcMar>
              <w:top w:type="dxa" w:w="80"/>
              <w:left w:type="dxa" w:w="120"/>
              <w:bottom w:type="dxa" w:w="80"/>
              <w:right w:type="dxa" w:w="120"/>
            </w:tcMar>
            <w:vAlign w:val="center"/>
          </w:tcPr>
          <w:p>
            <w:pPr>
              <w:spacing w:line="240"/>
            </w:pPr>
            <w:r>
              <w:t xml:space="preserve">12.0</w:t>
            </w:r>
          </w:p>
        </w:tc>
        <w:tc>
          <w:tcPr>
            <w:tcMar>
              <w:top w:type="dxa" w:w="80"/>
              <w:left w:type="dxa" w:w="120"/>
              <w:bottom w:type="dxa" w:w="80"/>
              <w:right w:type="dxa" w:w="120"/>
            </w:tcMar>
            <w:vAlign w:val="center"/>
          </w:tcPr>
          <w:p>
            <w:pPr>
              <w:spacing w:line="240"/>
            </w:pPr>
            <w:r>
              <w:t xml:space="preserve">Jerome County has a strong agricultural economy. Dairy, crops, food processing provide diversified base. County is NOT in fiscal distress. Does not need energy development as an economic lifeline. Low raw score = strong economy = high weighted contribution supporting restriction.</w:t>
            </w:r>
          </w:p>
        </w:tc>
      </w:tr>
      <w:tr>
        <w:tc>
          <w:tcPr>
            <w:tcMar>
              <w:top w:type="dxa" w:w="80"/>
              <w:left w:type="dxa" w:w="120"/>
              <w:bottom w:type="dxa" w:w="80"/>
              <w:right w:type="dxa" w:w="120"/>
            </w:tcMar>
            <w:vAlign w:val="center"/>
          </w:tcPr>
          <w:p>
            <w:pPr>
              <w:spacing w:line="240"/>
            </w:pPr>
            <w:r>
              <w:t xml:space="preserve">Cumulative/Regional Pressure</w:t>
            </w:r>
          </w:p>
        </w:tc>
        <w:tc>
          <w:tcPr>
            <w:tcMar>
              <w:top w:type="dxa" w:w="80"/>
              <w:left w:type="dxa" w:w="120"/>
              <w:bottom w:type="dxa" w:w="80"/>
              <w:right w:type="dxa" w:w="120"/>
            </w:tcMar>
            <w:vAlign w:val="center"/>
          </w:tcPr>
          <w:p>
            <w:pPr>
              <w:spacing w:line="240"/>
            </w:pPr>
            <w:r>
              <w:t xml:space="preserve">6</w:t>
            </w:r>
          </w:p>
        </w:tc>
        <w:tc>
          <w:tcPr>
            <w:tcMar>
              <w:top w:type="dxa" w:w="80"/>
              <w:left w:type="dxa" w:w="120"/>
              <w:bottom w:type="dxa" w:w="80"/>
              <w:right w:type="dxa" w:w="120"/>
            </w:tcMar>
            <w:vAlign w:val="center"/>
          </w:tcPr>
          <w:p>
            <w:pPr>
              <w:spacing w:line="240"/>
            </w:pPr>
            <w:r>
              <w:t xml:space="preserve">×1.0</w:t>
            </w:r>
          </w:p>
        </w:tc>
        <w:tc>
          <w:tcPr>
            <w:tcMar>
              <w:top w:type="dxa" w:w="80"/>
              <w:left w:type="dxa" w:w="120"/>
              <w:bottom w:type="dxa" w:w="80"/>
              <w:right w:type="dxa" w:w="120"/>
            </w:tcMar>
            <w:vAlign w:val="center"/>
          </w:tcPr>
          <w:p>
            <w:pPr>
              <w:spacing w:line="240"/>
            </w:pPr>
            <w:r>
              <w:t xml:space="preserve">6.0</w:t>
            </w:r>
          </w:p>
        </w:tc>
        <w:tc>
          <w:tcPr>
            <w:tcMar>
              <w:top w:type="dxa" w:w="80"/>
              <w:left w:type="dxa" w:w="120"/>
              <w:bottom w:type="dxa" w:w="80"/>
              <w:right w:type="dxa" w:w="120"/>
            </w:tcMar>
            <w:vAlign w:val="center"/>
          </w:tcPr>
          <w:p>
            <w:pPr>
              <w:spacing w:line="240"/>
            </w:pPr>
            <w:r>
              <w:t xml:space="preserve">Magic Valley is an active target for data center and energy development. Multiple counties in the region facing applications. Gemstone Technology Park (600-800 MW) in neighboring area. Regional pressure is high and growing.</w:t>
            </w:r>
          </w:p>
        </w:tc>
      </w:tr>
    </w:tbl>
    <w:p/>
    <w:p>
      <w:pPr>
        <w:spacing w:after="120" w:line="240"/>
        <w:jc w:val="center"/>
      </w:pPr>
      <w:r>
        <w:t xml:space="preserve">TOTAL CSPM SCORE: 80.0</w:t>
      </w:r>
    </w:p>
    <w:p>
      <w:pPr>
        <w:spacing w:after="120" w:line="240" w:lineRule="auto"/>
      </w:pPr>
      <w:r>
        <w:t xml:space="preserve">This places Jerome County at the threshold of the "Ban Justified" range (80-100).</w:t>
      </w:r>
    </w:p>
    <w:p/>
    <w:p>
      <w:pPr>
        <w:pBdr>
          <w:left w:val="single" w:color="2E75B6" w:sz="6" w:space="1"/>
        </w:pBdr>
        <w:spacing w:after="120" w:before="120" w:line="240" w:lineRule="auto"/>
        <w:ind w:left="200"/>
      </w:pPr>
      <w:r>
        <w:rPr>
          <w:rFonts w:ascii="Arial" w:cs="Arial" w:eastAsia="Arial" w:hAnsi="Arial"/>
          <w:b/>
          <w:bCs/>
          <w:color w:val="C0392B"/>
          <w:sz w:val="22"/>
          <w:szCs w:val="22"/>
        </w:rPr>
        <w:t xml:space="preserve">Jerome County's CSPM score of 80.0 supports a restrictive to ban-justified posture. The reform package's three-tier framework with categorical soil protections, BESS agricultural zone prohibition, and comprehensive notification requirements is consistent with this score. The package opts for structured regulation rather than outright prohibition, which is a MORE moderate response than the score alone would justify.</w:t>
      </w:r>
    </w:p>
    <w:p/>
    <w:p>
      <w:pPr>
        <w:spacing w:after="160" w:before="360" w:line="240"/>
      </w:pPr>
      <w:r>
        <w:t xml:space="preserve">Relationship to Other Package Documents</w:t>
      </w:r>
    </w:p>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shd w:fill="E7E6E6" w:val="clear"/>
            <w:tcMar>
              <w:top w:type="dxa" w:w="80"/>
              <w:left w:type="dxa" w:w="120"/>
              <w:bottom w:type="dxa" w:w="80"/>
              <w:right w:type="dxa" w:w="120"/>
            </w:tcMar>
            <w:vAlign w:val="center"/>
          </w:tcPr>
          <w:p>
            <w:pPr>
              <w:spacing w:line="240"/>
            </w:pPr>
            <w:r>
              <w:t xml:space="preserve">Document</w:t>
            </w:r>
          </w:p>
        </w:tc>
        <w:tc>
          <w:tcPr>
            <w:shd w:fill="E7E6E6" w:val="clear"/>
            <w:tcMar>
              <w:top w:type="dxa" w:w="80"/>
              <w:left w:type="dxa" w:w="120"/>
              <w:bottom w:type="dxa" w:w="80"/>
              <w:right w:type="dxa" w:w="120"/>
            </w:tcMar>
            <w:vAlign w:val="center"/>
          </w:tcPr>
          <w:p>
            <w:pPr>
              <w:spacing w:line="240"/>
            </w:pPr>
            <w:r>
              <w:t xml:space="preserve">CSPM Connection</w:t>
            </w:r>
          </w:p>
        </w:tc>
      </w:tr>
      <w:tr>
        <w:tc>
          <w:tcPr>
            <w:tcMar>
              <w:top w:type="dxa" w:w="80"/>
              <w:left w:type="dxa" w:w="120"/>
              <w:bottom w:type="dxa" w:w="80"/>
              <w:right w:type="dxa" w:w="120"/>
            </w:tcMar>
            <w:vAlign w:val="center"/>
          </w:tcPr>
          <w:p>
            <w:pPr>
              <w:spacing w:line="240"/>
            </w:pPr>
            <w:r>
              <w:t xml:space="preserve">Ch 10 (Comprehensive Plan)</w:t>
            </w:r>
          </w:p>
        </w:tc>
        <w:tc>
          <w:tcPr>
            <w:tcMar>
              <w:top w:type="dxa" w:w="80"/>
              <w:left w:type="dxa" w:w="120"/>
              <w:bottom w:type="dxa" w:w="80"/>
              <w:right w:type="dxa" w:w="120"/>
            </w:tcMar>
            <w:vAlign w:val="center"/>
          </w:tcPr>
          <w:p>
            <w:pPr>
              <w:spacing w:line="240"/>
            </w:pPr>
            <w:r>
              <w:t xml:space="preserve">CSPM framework is defined and referenced here as the analytical basis for the county's energy policy posture</w:t>
            </w:r>
          </w:p>
        </w:tc>
      </w:tr>
      <w:tr>
        <w:tc>
          <w:tcPr>
            <w:tcMar>
              <w:top w:type="dxa" w:w="80"/>
              <w:left w:type="dxa" w:w="120"/>
              <w:bottom w:type="dxa" w:w="80"/>
              <w:right w:type="dxa" w:w="120"/>
            </w:tcMar>
            <w:vAlign w:val="center"/>
          </w:tcPr>
          <w:p>
            <w:pPr>
              <w:spacing w:line="240"/>
            </w:pPr>
            <w:r>
              <w:t xml:space="preserve">Ch 11 (Energy Facilities)</w:t>
            </w:r>
          </w:p>
        </w:tc>
        <w:tc>
          <w:tcPr>
            <w:tcMar>
              <w:top w:type="dxa" w:w="80"/>
              <w:left w:type="dxa" w:w="120"/>
              <w:bottom w:type="dxa" w:w="80"/>
              <w:right w:type="dxa" w:w="120"/>
            </w:tcMar>
            <w:vAlign w:val="center"/>
          </w:tcPr>
          <w:p>
            <w:pPr>
              <w:spacing w:line="240"/>
            </w:pPr>
            <w:r>
              <w:t xml:space="preserve">Implements the restrictive posture the CSPM justifies through three-tier classification, soil protections, and review requirements</w:t>
            </w:r>
          </w:p>
        </w:tc>
      </w:tr>
      <w:tr>
        <w:tc>
          <w:tcPr>
            <w:tcMar>
              <w:top w:type="dxa" w:w="80"/>
              <w:left w:type="dxa" w:w="120"/>
              <w:bottom w:type="dxa" w:w="80"/>
              <w:right w:type="dxa" w:w="120"/>
            </w:tcMar>
            <w:vAlign w:val="center"/>
          </w:tcPr>
          <w:p>
            <w:pPr>
              <w:spacing w:line="240"/>
            </w:pPr>
            <w:r>
              <w:t xml:space="preserve">Response to P&amp;Z (Doc 6)</w:t>
            </w:r>
          </w:p>
        </w:tc>
        <w:tc>
          <w:tcPr>
            <w:tcMar>
              <w:top w:type="dxa" w:w="80"/>
              <w:left w:type="dxa" w:w="120"/>
              <w:bottom w:type="dxa" w:w="80"/>
              <w:right w:type="dxa" w:w="120"/>
            </w:tcMar>
            <w:vAlign w:val="center"/>
          </w:tcPr>
          <w:p>
            <w:pPr>
              <w:spacing w:line="240"/>
            </w:pPr>
            <w:r>
              <w:t xml:space="preserve">CSPM dimension scores are used to rebut P&amp;Z recommendations that are inconsistent with the county's documented posture</w:t>
            </w:r>
          </w:p>
        </w:tc>
      </w:tr>
      <w:tr>
        <w:tc>
          <w:tcPr>
            <w:tcMar>
              <w:top w:type="dxa" w:w="80"/>
              <w:left w:type="dxa" w:w="120"/>
              <w:bottom w:type="dxa" w:w="80"/>
              <w:right w:type="dxa" w:w="120"/>
            </w:tcMar>
            <w:vAlign w:val="center"/>
          </w:tcPr>
          <w:p>
            <w:pPr>
              <w:spacing w:line="240"/>
            </w:pPr>
            <w:r>
              <w:t xml:space="preserve">Legal Justification (Doc 8)</w:t>
            </w:r>
          </w:p>
        </w:tc>
        <w:tc>
          <w:tcPr>
            <w:tcMar>
              <w:top w:type="dxa" w:w="80"/>
              <w:left w:type="dxa" w:w="120"/>
              <w:bottom w:type="dxa" w:w="80"/>
              <w:right w:type="dxa" w:w="120"/>
            </w:tcMar>
            <w:vAlign w:val="center"/>
          </w:tcPr>
          <w:p>
            <w:pPr>
              <w:spacing w:line="240"/>
            </w:pPr>
            <w:r>
              <w:t xml:space="preserve">CSPM provides the structured evidentiary record that defends the ordinance against claims of arbitrary regulation</w:t>
            </w:r>
          </w:p>
        </w:tc>
      </w:tr>
      <w:tr>
        <w:tc>
          <w:tcPr>
            <w:tcMar>
              <w:top w:type="dxa" w:w="80"/>
              <w:left w:type="dxa" w:w="120"/>
              <w:bottom w:type="dxa" w:w="80"/>
              <w:right w:type="dxa" w:w="120"/>
            </w:tcMar>
            <w:vAlign w:val="center"/>
          </w:tcPr>
          <w:p>
            <w:pPr>
              <w:spacing w:line="240"/>
            </w:pPr>
            <w:r>
              <w:t xml:space="preserve">Legal Framework (Doc 15)</w:t>
            </w:r>
          </w:p>
        </w:tc>
        <w:tc>
          <w:tcPr>
            <w:tcMar>
              <w:top w:type="dxa" w:w="80"/>
              <w:left w:type="dxa" w:w="120"/>
              <w:bottom w:type="dxa" w:w="80"/>
              <w:right w:type="dxa" w:w="120"/>
            </w:tcMar>
            <w:vAlign w:val="center"/>
          </w:tcPr>
          <w:p>
            <w:pPr>
              <w:spacing w:line="240"/>
            </w:pPr>
            <w:r>
              <w:t xml:space="preserve">Documents the legal defensibility of each CSPM-justified provision</w:t>
            </w:r>
          </w:p>
        </w:tc>
      </w:tr>
      <w:tr>
        <w:tc>
          <w:tcPr>
            <w:tcMar>
              <w:top w:type="dxa" w:w="80"/>
              <w:left w:type="dxa" w:w="120"/>
              <w:bottom w:type="dxa" w:w="80"/>
              <w:right w:type="dxa" w:w="120"/>
            </w:tcMar>
            <w:vAlign w:val="center"/>
          </w:tcPr>
          <w:p>
            <w:pPr>
              <w:spacing w:line="240"/>
            </w:pPr>
            <w:r>
              <w:t xml:space="preserve">Survey (Doc 11)</w:t>
            </w:r>
          </w:p>
        </w:tc>
        <w:tc>
          <w:tcPr>
            <w:tcMar>
              <w:top w:type="dxa" w:w="80"/>
              <w:left w:type="dxa" w:w="120"/>
              <w:bottom w:type="dxa" w:w="80"/>
              <w:right w:type="dxa" w:w="120"/>
            </w:tcMar>
            <w:vAlign w:val="center"/>
          </w:tcPr>
          <w:p>
            <w:pPr>
              <w:spacing w:line="240"/>
            </w:pPr>
            <w:r>
              <w:t xml:space="preserve">Provides the data underlying the Community/Plan Alignment dimension score</w:t>
            </w:r>
          </w:p>
        </w:tc>
      </w:tr>
      <w:tr>
        <w:tc>
          <w:tcPr>
            <w:tcMar>
              <w:top w:type="dxa" w:w="80"/>
              <w:left w:type="dxa" w:w="120"/>
              <w:bottom w:type="dxa" w:w="80"/>
              <w:right w:type="dxa" w:w="120"/>
            </w:tcMar>
            <w:vAlign w:val="center"/>
          </w:tcPr>
          <w:p>
            <w:pPr>
              <w:spacing w:line="240"/>
            </w:pPr>
            <w:r>
              <w:t xml:space="preserve">Water Resources (Doc 10)</w:t>
            </w:r>
          </w:p>
        </w:tc>
        <w:tc>
          <w:tcPr>
            <w:tcMar>
              <w:top w:type="dxa" w:w="80"/>
              <w:left w:type="dxa" w:w="120"/>
              <w:bottom w:type="dxa" w:w="80"/>
              <w:right w:type="dxa" w:w="120"/>
            </w:tcMar>
            <w:vAlign w:val="center"/>
          </w:tcPr>
          <w:p>
            <w:pPr>
              <w:spacing w:line="240"/>
            </w:pPr>
            <w:r>
              <w:t xml:space="preserve">Provides the data underlying the Infrastructure Capacity dimension score (aquifer)</w:t>
            </w:r>
          </w:p>
        </w:tc>
      </w:tr>
      <w:tr>
        <w:tc>
          <w:tcPr>
            <w:tcMar>
              <w:top w:type="dxa" w:w="80"/>
              <w:left w:type="dxa" w:w="120"/>
              <w:bottom w:type="dxa" w:w="80"/>
              <w:right w:type="dxa" w:w="120"/>
            </w:tcMar>
            <w:vAlign w:val="center"/>
          </w:tcPr>
          <w:p>
            <w:pPr>
              <w:spacing w:line="240"/>
            </w:pPr>
            <w:r>
              <w:t xml:space="preserve">Data Center Crisis (Doc 9)</w:t>
            </w:r>
          </w:p>
        </w:tc>
        <w:tc>
          <w:tcPr>
            <w:tcMar>
              <w:top w:type="dxa" w:w="80"/>
              <w:left w:type="dxa" w:w="120"/>
              <w:bottom w:type="dxa" w:w="80"/>
              <w:right w:type="dxa" w:w="120"/>
            </w:tcMar>
            <w:vAlign w:val="center"/>
          </w:tcPr>
          <w:p>
            <w:pPr>
              <w:spacing w:line="240"/>
            </w:pPr>
            <w:r>
              <w:t xml:space="preserve">Documents the cumulative pressure driving the Cumulative/Regional Pressure dimension score</w:t>
            </w:r>
          </w:p>
        </w:tc>
      </w:tr>
    </w:tbl>
    <w:p/>
    <w:p>
      <w:pPr>
        <w:spacing w:after="160" w:before="360" w:line="240"/>
      </w:pPr>
      <w:r>
        <w:t xml:space="preserve">Process Principles</w:t>
      </w:r>
    </w:p>
    <w:p>
      <w:pPr>
        <w:spacing w:after="120" w:line="240" w:lineRule="auto"/>
      </w:pPr>
      <w:r>
        <w:t xml:space="preserve">Document Everything: Every score should be supported by written findings.</w:t>
      </w:r>
    </w:p>
    <w:p>
      <w:pPr>
        <w:spacing w:after="120" w:line="240" w:lineRule="auto"/>
      </w:pPr>
      <w:r>
        <w:t xml:space="preserve">Use the Public Process: The CSPM structures deliberation; it does not replace public hearings, planning commission review, or elected official accountability.</w:t>
      </w:r>
    </w:p>
    <w:p>
      <w:pPr>
        <w:spacing w:after="120" w:line="240" w:lineRule="auto"/>
      </w:pPr>
      <w:r>
        <w:t xml:space="preserve">Revisit Periodically: Conditions change. Counties should build a review cycle into their ordinances.</w:t>
      </w:r>
    </w:p>
    <w:p>
      <w:pPr>
        <w:spacing w:after="120" w:line="240" w:lineRule="auto"/>
      </w:pPr>
      <w:r>
        <w:t xml:space="preserve">Separate by Facility Type: The CSPM can and should be applied separately to different facility categories if conditions warrant.</w:t>
      </w:r>
    </w:p>
    <w:p/>
    <w:p>
      <w:pPr>
        <w:spacing w:after="160" w:before="360" w:line="240"/>
      </w:pPr>
      <w:r>
        <w:t xml:space="preserve">Conclusion</w:t>
      </w:r>
    </w:p>
    <w:p>
      <w:pPr>
        <w:spacing w:after="120" w:line="240" w:lineRule="auto"/>
      </w:pPr>
      <w:r>
        <w:t xml:space="preserve">Jerome County's CSPM score of 80.0 places it at the threshold where an outright ban would be justified and defensible. The reform package takes a deliberately more moderate approach — structured regulation through a three-tier system rather than blanket prohibition. This means the county's regulatory posture is actually LESS restrictive than what the CSPM score alone would support, which provides additional legal and political margin.</w:t>
      </w:r>
    </w:p>
    <w:p>
      <w:pPr>
        <w:spacing w:after="120" w:line="240" w:lineRule="auto"/>
      </w:pPr>
      <w:r>
        <w:t xml:space="preserve">The CSPM framework ensures that Jerome County's energy policy is not based on reaction, emotion, or arbitrary decision-making. It is based on a documented, structured analysis of six measurable dimensions, each grounded in objective data. This is the foundation on which the entire reform package stands.</w:t>
      </w:r>
    </w:p>
    <w:p/>
    <w:p>
      <w:pPr>
        <w:pBdr>
          <w:top w:val="single" w:color="2E75B6" w:sz="8" w:space="4"/>
        </w:pBdr>
        <w:spacing w:after="80" w:before="240"/>
        <w:jc w:val="center"/>
      </w:pPr>
      <w:r>
        <w:t xml:space="preserve">Jerome County Energy Ordinance Reform Package — Document 17 of 17</w:t>
      </w:r>
    </w:p>
    <w:p>
      <w:pPr>
        <w:spacing w:after="0"/>
        <w:jc w:val="center"/>
      </w:pPr>
      <w:r>
        <w:t xml:space="preserve">Jeff Pierson | Confidential Solutions LLC | Jerome, Idaho</w:t>
      </w:r>
    </w:p>
    <w:p>
      <w:pPr>
        <w:pageBreakBefore/>
        <w:spacing w:after="120"/>
        <w:jc w:val="center"/>
      </w:pPr>
      <w:r>
        <w:rPr>
          <w:rFonts w:ascii="Arial" w:cs="Arial" w:eastAsia="Arial" w:hAnsi="Arial"/>
          <w:b/>
          <w:bCs/>
          <w:color w:val="1F3864"/>
          <w:sz w:val="24"/>
          <w:szCs w:val="24"/>
        </w:rPr>
        <w:t xml:space="preserve">DOCUMENT REVISION HISTORY</w:t>
      </w:r>
    </w:p>
    <w:p>
      <w:pPr>
        <w:spacing w:after="80"/>
        <w:jc w:val="center"/>
      </w:pPr>
      <w:r>
        <w:rPr>
          <w:rFonts w:ascii="Arial" w:cs="Arial" w:eastAsia="Arial" w:hAnsi="Arial"/>
          <w:i/>
          <w:iCs/>
          <w:color w:val="2E75B6"/>
          <w:sz w:val="20"/>
          <w:szCs w:val="20"/>
        </w:rPr>
        <w:t xml:space="preserve">CSPM Framework Application and Methodology</w:t>
      </w:r>
    </w:p>
    <w:p>
      <w:pPr>
        <w:pBdr>
          <w:bottom w:val="single" w:color="2E75B6" w:sz="4" w:space="4"/>
        </w:pBdr>
        <w:spacing w:after="1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0"/>
        <w:gridCol w:w="1000"/>
        <w:gridCol w:w="5160"/>
        <w:gridCol w:w="2000"/>
      </w:tblGrid>
      <w:tr>
        <w:tc>
          <w:tcPr>
            <w:tcW w:type="dxa" w:w="1200"/>
            <w:tcBorders>
              <w:top w:val="single" w:color="AAAAAA" w:sz="1"/>
              <w:left w:val="single" w:color="AAAAAA" w:sz="1"/>
              <w:bottom w:val="single" w:color="AAAAAA" w:sz="1"/>
              <w:right w:val="single" w:color="AAAAAA" w:sz="1"/>
            </w:tcBorders>
            <w:shd w:fill="1F3864" w:val="clear"/>
            <w:tcMar>
              <w:top w:type="dxa" w:w="40"/>
              <w:left w:type="dxa" w:w="80"/>
              <w:bottom w:type="dxa" w:w="40"/>
              <w:right w:type="dxa" w:w="80"/>
            </w:tcMar>
          </w:tcPr>
          <w:p>
            <w:pPr>
              <w:spacing w:after="20"/>
            </w:pPr>
            <w:r>
              <w:rPr>
                <w:rFonts w:ascii="Arial" w:cs="Arial" w:eastAsia="Arial" w:hAnsi="Arial"/>
                <w:b/>
                <w:bCs/>
                <w:color w:val="FFFFFF"/>
                <w:sz w:val="18"/>
                <w:szCs w:val="18"/>
              </w:rPr>
              <w:t xml:space="preserve">Version</w:t>
            </w:r>
          </w:p>
        </w:tc>
        <w:tc>
          <w:tcPr>
            <w:tcW w:type="dxa" w:w="1000"/>
            <w:tcBorders>
              <w:top w:val="single" w:color="AAAAAA" w:sz="1"/>
              <w:left w:val="single" w:color="AAAAAA" w:sz="1"/>
              <w:bottom w:val="single" w:color="AAAAAA" w:sz="1"/>
              <w:right w:val="single" w:color="AAAAAA" w:sz="1"/>
            </w:tcBorders>
            <w:shd w:fill="1F3864" w:val="clear"/>
            <w:tcMar>
              <w:top w:type="dxa" w:w="40"/>
              <w:left w:type="dxa" w:w="80"/>
              <w:bottom w:type="dxa" w:w="40"/>
              <w:right w:type="dxa" w:w="80"/>
            </w:tcMar>
          </w:tcPr>
          <w:p>
            <w:pPr>
              <w:spacing w:after="20"/>
            </w:pPr>
            <w:r>
              <w:rPr>
                <w:rFonts w:ascii="Arial" w:cs="Arial" w:eastAsia="Arial" w:hAnsi="Arial"/>
                <w:b/>
                <w:bCs/>
                <w:color w:val="FFFFFF"/>
                <w:sz w:val="18"/>
                <w:szCs w:val="18"/>
              </w:rPr>
              <w:t xml:space="preserve">Date</w:t>
            </w:r>
          </w:p>
        </w:tc>
        <w:tc>
          <w:tcPr>
            <w:tcW w:type="dxa" w:w="5160"/>
            <w:tcBorders>
              <w:top w:val="single" w:color="AAAAAA" w:sz="1"/>
              <w:left w:val="single" w:color="AAAAAA" w:sz="1"/>
              <w:bottom w:val="single" w:color="AAAAAA" w:sz="1"/>
              <w:right w:val="single" w:color="AAAAAA" w:sz="1"/>
            </w:tcBorders>
            <w:shd w:fill="1F3864" w:val="clear"/>
            <w:tcMar>
              <w:top w:type="dxa" w:w="40"/>
              <w:left w:type="dxa" w:w="80"/>
              <w:bottom w:type="dxa" w:w="40"/>
              <w:right w:type="dxa" w:w="80"/>
            </w:tcMar>
          </w:tcPr>
          <w:p>
            <w:pPr>
              <w:spacing w:after="20"/>
            </w:pPr>
            <w:r>
              <w:rPr>
                <w:rFonts w:ascii="Arial" w:cs="Arial" w:eastAsia="Arial" w:hAnsi="Arial"/>
                <w:b/>
                <w:bCs/>
                <w:color w:val="FFFFFF"/>
                <w:sz w:val="18"/>
                <w:szCs w:val="18"/>
              </w:rPr>
              <w:t xml:space="preserve">Changes / Updates</w:t>
            </w:r>
          </w:p>
        </w:tc>
        <w:tc>
          <w:tcPr>
            <w:tcW w:type="dxa" w:w="2000"/>
            <w:tcBorders>
              <w:top w:val="single" w:color="AAAAAA" w:sz="1"/>
              <w:left w:val="single" w:color="AAAAAA" w:sz="1"/>
              <w:bottom w:val="single" w:color="AAAAAA" w:sz="1"/>
              <w:right w:val="single" w:color="AAAAAA" w:sz="1"/>
            </w:tcBorders>
            <w:shd w:fill="1F3864" w:val="clear"/>
            <w:tcMar>
              <w:top w:type="dxa" w:w="40"/>
              <w:left w:type="dxa" w:w="80"/>
              <w:bottom w:type="dxa" w:w="40"/>
              <w:right w:type="dxa" w:w="80"/>
            </w:tcMar>
          </w:tcPr>
          <w:p>
            <w:pPr>
              <w:spacing w:after="20"/>
            </w:pPr>
            <w:r>
              <w:rPr>
                <w:rFonts w:ascii="Arial" w:cs="Arial" w:eastAsia="Arial" w:hAnsi="Arial"/>
                <w:b/>
                <w:bCs/>
                <w:color w:val="FFFFFF"/>
                <w:sz w:val="18"/>
                <w:szCs w:val="18"/>
              </w:rPr>
              <w:t xml:space="preserve">Reviewed By</w:t>
            </w:r>
          </w:p>
        </w:tc>
      </w:tr>
      <w:tr>
        <w:tc>
          <w:tcPr>
            <w:tcW w:type="dxa" w:w="12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v5</w:t>
            </w:r>
          </w:p>
        </w:tc>
        <w:tc>
          <w:tcPr>
            <w:tcW w:type="dxa" w:w="1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Mar 23, 2026</w:t>
            </w:r>
          </w:p>
        </w:tc>
        <w:tc>
          <w:tcPr>
            <w:tcW w:type="dxa" w:w="516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Initial creation as Document 17. Formal CSPM application to Jerome County with six-dimension scoring and threshold analysis.</w:t>
            </w:r>
          </w:p>
        </w:tc>
        <w:tc>
          <w:tcPr>
            <w:tcW w:type="dxa" w:w="2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J. Pierson</w:t>
            </w:r>
          </w:p>
        </w:tc>
      </w:tr>
      <w:tr>
        <w:tc>
          <w:tcPr>
            <w:tcW w:type="dxa" w:w="12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v6</w:t>
            </w:r>
          </w:p>
        </w:tc>
        <w:tc>
          <w:tcPr>
            <w:tcW w:type="dxa" w:w="1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Mar 23, 2026</w:t>
            </w:r>
          </w:p>
        </w:tc>
        <w:tc>
          <w:tcPr>
            <w:tcW w:type="dxa" w:w="516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Added IdahoEnergy logo to footer; integrated into 17-document package</w:t>
            </w:r>
          </w:p>
        </w:tc>
        <w:tc>
          <w:tcPr>
            <w:tcW w:type="dxa" w:w="2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J. Pierson</w:t>
            </w:r>
          </w:p>
        </w:tc>
      </w:tr>
      <w:tr>
        <w:tc>
          <w:tcPr>
            <w:tcW w:type="dxa" w:w="12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1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516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2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r>
      <w:tr>
        <w:tc>
          <w:tcPr>
            <w:tcW w:type="dxa" w:w="12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1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516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2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r>
      <w:tr>
        <w:tc>
          <w:tcPr>
            <w:tcW w:type="dxa" w:w="12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1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516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2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r>
    </w:tbl>
    <w:p>
      <w:pPr>
        <w:spacing w:after="120" w:before="200"/>
      </w:pPr>
      <w:r>
        <w:rPr>
          <w:rFonts w:ascii="Arial" w:cs="Arial" w:eastAsia="Arial" w:hAnsi="Arial"/>
          <w:b/>
          <w:bCs/>
          <w:color w:val="1F3864"/>
          <w:sz w:val="20"/>
          <w:szCs w:val="20"/>
        </w:rPr>
        <w:t xml:space="preserve">REVIEW NOTES</w:t>
      </w:r>
    </w:p>
    <w:p>
      <w:pPr>
        <w:pBdr>
          <w:bottom w:val="single" w:color="CCCCCC" w:sz="1" w:space="4"/>
        </w:pBdr>
        <w:spacing w:after="60"/>
      </w:pPr>
      <w:r>
        <w:rPr>
          <w:rFonts w:ascii="Arial" w:cs="Arial" w:eastAsia="Arial" w:hAnsi="Arial"/>
          <w:sz w:val="18"/>
          <w:szCs w:val="18"/>
        </w:rPr>
        <w:t xml:space="preserve"/>
      </w:r>
    </w:p>
    <w:p>
      <w:pPr>
        <w:pBdr>
          <w:bottom w:val="single" w:color="CCCCCC" w:sz="1" w:space="4"/>
        </w:pBdr>
        <w:spacing w:after="60"/>
      </w:pPr>
      <w:r>
        <w:rPr>
          <w:rFonts w:ascii="Arial" w:cs="Arial" w:eastAsia="Arial" w:hAnsi="Arial"/>
          <w:sz w:val="18"/>
          <w:szCs w:val="18"/>
        </w:rPr>
        <w:t xml:space="preserve"/>
      </w:r>
    </w:p>
    <w:p>
      <w:pPr>
        <w:pBdr>
          <w:bottom w:val="single" w:color="CCCCCC" w:sz="1" w:space="4"/>
        </w:pBdr>
        <w:spacing w:after="60"/>
      </w:pPr>
      <w:r>
        <w:rPr>
          <w:rFonts w:ascii="Arial" w:cs="Arial" w:eastAsia="Arial" w:hAnsi="Arial"/>
          <w:sz w:val="18"/>
          <w:szCs w:val="18"/>
        </w:rPr>
        <w:t xml:space="preserve"/>
      </w:r>
    </w:p>
    <w:p>
      <w:pPr>
        <w:pBdr>
          <w:bottom w:val="single" w:color="CCCCCC" w:sz="1" w:space="4"/>
        </w:pBdr>
        <w:spacing w:after="60"/>
      </w:pPr>
      <w:r>
        <w:rPr>
          <w:rFonts w:ascii="Arial" w:cs="Arial" w:eastAsia="Arial" w:hAnsi="Arial"/>
          <w:sz w:val="18"/>
          <w:szCs w:val="18"/>
        </w:rPr>
        <w:t xml:space="preserve"/>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2026-03-23T07:48:07.001Z</dcterms:created>
  <dcterms:modified xsi:type="dcterms:W3CDTF">2026-03-23T07:48:07.002Z</dcterms:modified>
</cp:coreProperties>
</file>

<file path=docProps/custom.xml><?xml version="1.0" encoding="utf-8"?>
<Properties xmlns="http://schemas.openxmlformats.org/officeDocument/2006/custom-properties" xmlns:vt="http://schemas.openxmlformats.org/officeDocument/2006/docPropsVTypes"/>
</file>