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400" w:line="276"/>
      </w:pPr>
      <w:r>
        <w:rPr>
          <w:rFonts w:ascii="Arial" w:cs="Arial" w:eastAsia="Arial" w:hAnsi="Arial"/>
          <w:b w:val="false"/>
          <w:bCs w:val="false"/>
          <w:i w:val="false"/>
          <w:iCs w:val="false"/>
          <w:sz w:val="22"/>
          <w:szCs w:val="22"/>
        </w:rPr>
        <w:t xml:space="preserve"/>
      </w:r>
    </w:p>
    <w:p>
      <w:pPr>
        <w:spacing w:after="160" w:before="0" w:line="276"/>
        <w:jc w:val="center"/>
      </w:pPr>
      <w:r>
        <w:rPr>
          <w:rFonts w:ascii="Arial" w:cs="Arial" w:eastAsia="Arial" w:hAnsi="Arial"/>
          <w:b/>
          <w:bCs/>
          <w:i w:val="false"/>
          <w:iCs w:val="false"/>
          <w:color w:val="1F3864"/>
          <w:sz w:val="72"/>
          <w:szCs w:val="72"/>
        </w:rPr>
        <w:t xml:space="preserve">JEROME COUNTY</w:t>
      </w:r>
    </w:p>
    <w:p>
      <w:pPr>
        <w:spacing w:after="240" w:before="160" w:line="276"/>
        <w:jc w:val="center"/>
      </w:pPr>
      <w:r>
        <w:rPr>
          <w:rFonts w:ascii="Arial" w:cs="Arial" w:eastAsia="Arial" w:hAnsi="Arial"/>
          <w:b/>
          <w:bCs/>
          <w:i w:val="false"/>
          <w:iCs w:val="false"/>
          <w:color w:val="2E75B6"/>
          <w:sz w:val="56"/>
          <w:szCs w:val="56"/>
        </w:rPr>
        <w:t xml:space="preserve">Energy Ordinance Reform Package</w:t>
      </w:r>
    </w:p>
    <w:p>
      <w:pPr>
        <w:pBdr>
          <w:bottom w:val="single" w:color="2E75B6" w:sz="16" w:space="1"/>
        </w:pBdr>
        <w:spacing w:after="240" w:before="0" w:line="276"/>
      </w:pPr>
      <w:r>
        <w:rPr>
          <w:rFonts w:ascii="Arial" w:cs="Arial" w:eastAsia="Arial" w:hAnsi="Arial"/>
          <w:b w:val="false"/>
          <w:bCs w:val="false"/>
          <w:i w:val="false"/>
          <w:iCs w:val="false"/>
          <w:sz w:val="22"/>
          <w:szCs w:val="22"/>
        </w:rPr>
        <w:t xml:space="preserve"/>
      </w:r>
    </w:p>
    <w:p>
      <w:pPr>
        <w:spacing w:after="240" w:before="0" w:line="276"/>
        <w:jc w:val="center"/>
      </w:pPr>
      <w:r>
        <w:rPr>
          <w:rFonts w:ascii="Arial" w:cs="Arial" w:eastAsia="Arial" w:hAnsi="Arial"/>
          <w:b w:val="false"/>
          <w:bCs w:val="false"/>
          <w:i w:val="false"/>
          <w:iCs w:val="false"/>
          <w:color w:val="2E75B6"/>
          <w:sz w:val="44"/>
          <w:szCs w:val="44"/>
        </w:rPr>
        <w:t xml:space="preserve">Document 16 of 17</w:t>
      </w:r>
    </w:p>
    <w:p>
      <w:pPr>
        <w:spacing w:after="240" w:before="160" w:line="276"/>
        <w:jc w:val="center"/>
      </w:pPr>
      <w:r>
        <w:rPr>
          <w:rFonts w:ascii="Arial" w:cs="Arial" w:eastAsia="Arial" w:hAnsi="Arial"/>
          <w:b/>
          <w:bCs/>
          <w:i w:val="false"/>
          <w:iCs w:val="false"/>
          <w:color w:val="1F3864"/>
          <w:sz w:val="64"/>
          <w:szCs w:val="64"/>
        </w:rPr>
        <w:t xml:space="preserve">Fiscal Impact and Tax Revenue Analysis</w:t>
      </w:r>
    </w:p>
    <w:p>
      <w:pPr>
        <w:spacing w:after="400" w:before="160" w:line="276"/>
        <w:jc w:val="center"/>
      </w:pPr>
      <w:r>
        <w:rPr>
          <w:rFonts w:ascii="Arial" w:cs="Arial" w:eastAsia="Arial" w:hAnsi="Arial"/>
          <w:b w:val="false"/>
          <w:bCs w:val="false"/>
          <w:i w:val="false"/>
          <w:iCs w:val="false"/>
          <w:color w:val="2E75B6"/>
          <w:sz w:val="44"/>
          <w:szCs w:val="44"/>
        </w:rPr>
        <w:t xml:space="preserve">An analysis of the tax revenue trade-offs, stranded asset risks, utility rate impacts, and long-term fiscal implications of energy development regulation</w:t>
      </w:r>
    </w:p>
    <w:p>
      <w:pPr>
        <w:spacing w:after="120" w:before="200" w:line="276"/>
        <w:jc w:val="center"/>
      </w:pPr>
      <w:r>
        <w:rPr>
          <w:rFonts w:ascii="Arial" w:cs="Arial" w:eastAsia="Arial" w:hAnsi="Arial"/>
          <w:b/>
          <w:bCs/>
          <w:i w:val="false"/>
          <w:iCs w:val="false"/>
          <w:sz w:val="44"/>
          <w:szCs w:val="44"/>
        </w:rPr>
        <w:t xml:space="preserve">Prepared by Jeff Pierson</w:t>
      </w:r>
    </w:p>
    <w:p>
      <w:pPr>
        <w:spacing w:after="80" w:before="0" w:line="276"/>
        <w:jc w:val="center"/>
      </w:pPr>
      <w:r>
        <w:rPr>
          <w:rFonts w:ascii="Arial" w:cs="Arial" w:eastAsia="Arial" w:hAnsi="Arial"/>
          <w:b w:val="false"/>
          <w:bCs w:val="false"/>
          <w:i w:val="false"/>
          <w:iCs w:val="false"/>
          <w:color w:val="666666"/>
          <w:sz w:val="40"/>
          <w:szCs w:val="40"/>
        </w:rPr>
        <w:t xml:space="preserve">Confidential Solutions LLC | Jerome, Idaho</w:t>
      </w:r>
    </w:p>
    <w:p>
      <w:pPr>
        <w:spacing w:after="240" w:before="0" w:line="276"/>
        <w:jc w:val="center"/>
      </w:pPr>
      <w:r>
        <w:rPr>
          <w:rFonts w:ascii="Arial" w:cs="Arial" w:eastAsia="Arial" w:hAnsi="Arial"/>
          <w:b w:val="false"/>
          <w:bCs w:val="false"/>
          <w:i w:val="false"/>
          <w:iCs w:val="false"/>
          <w:color w:val="666666"/>
          <w:sz w:val="40"/>
          <w:szCs w:val="40"/>
        </w:rPr>
        <w:t xml:space="preserve">March 2026</w:t>
      </w:r>
    </w:p>
    <w:r>
      <w:br w:type="page"/>
    </w:r>
    <w:p>
      <w:pPr>
        <w:spacing w:after="160" w:before="360" w:line="276"/>
      </w:pPr>
      <w:r>
        <w:rPr>
          <w:rFonts w:ascii="Arial" w:cs="Arial" w:eastAsia="Arial" w:hAnsi="Arial"/>
          <w:b/>
          <w:bCs/>
          <w:i w:val="false"/>
          <w:iCs w:val="false"/>
          <w:color w:val="1F3864"/>
          <w:sz w:val="56"/>
          <w:szCs w:val="56"/>
        </w:rPr>
        <w:t xml:space="preserve">A. Purpose</w:t>
      </w:r>
    </w:p>
    <w:p>
      <w:pPr>
        <w:spacing w:after="240" w:before="0" w:line="276"/>
      </w:pPr>
      <w:r>
        <w:rPr>
          <w:rFonts w:ascii="Arial" w:cs="Arial" w:eastAsia="Arial" w:hAnsi="Arial"/>
          <w:b w:val="false"/>
          <w:bCs w:val="false"/>
          <w:i w:val="false"/>
          <w:iCs w:val="false"/>
          <w:sz w:val="22"/>
          <w:szCs w:val="22"/>
        </w:rPr>
        <w:t xml:space="preserve">A common objection to energy development regulation is that it will cost the county tax revenue. This analysis examines the actual fiscal dynamics and demonstrates that responsible regulation protects the county's long-term fiscal position rather than undermining it.</w:t>
      </w:r>
    </w:p>
    <w:p>
      <w:pPr>
        <w:spacing w:after="160" w:before="360" w:line="276"/>
      </w:pPr>
      <w:r>
        <w:rPr>
          <w:rFonts w:ascii="Arial" w:cs="Arial" w:eastAsia="Arial" w:hAnsi="Arial"/>
          <w:b/>
          <w:bCs/>
          <w:i w:val="false"/>
          <w:iCs w:val="false"/>
          <w:color w:val="1F3864"/>
          <w:sz w:val="56"/>
          <w:szCs w:val="56"/>
        </w:rPr>
        <w:t xml:space="preserve">B. Agricultural Land — The Stable Tax Base</w:t>
      </w:r>
    </w:p>
    <w:p>
      <w:pPr>
        <w:spacing w:after="160" w:before="0" w:line="276"/>
      </w:pPr>
      <w:r>
        <w:rPr>
          <w:rFonts w:ascii="Arial" w:cs="Arial" w:eastAsia="Arial" w:hAnsi="Arial"/>
          <w:b w:val="false"/>
          <w:bCs w:val="false"/>
          <w:i w:val="false"/>
          <w:iCs w:val="false"/>
          <w:sz w:val="22"/>
          <w:szCs w:val="22"/>
        </w:rPr>
        <w:t xml:space="preserve">Jerome County's agricultural land generates stable, predictable, recurring property tax revenue. Under Idaho's Agricultural Property Tax program, agricultural land is assessed at actual-use value. Key characteristics: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Revenue is stable year over year — not dependent on market cycles, corporate decisions, or technology trends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Agricultural property is maintained by private operators at no cost to the county</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Agricultural operations support a downstream economic ecosystem (processing, transport, retail, services) that generates additional tax revenue</w:t>
      </w:r>
    </w:p>
    <w:p>
      <w:pPr>
        <w:pStyle w:val="ListParagraph"/>
        <w:numPr>
          <w:ilvl w:val="0"/>
          <w:numId w:val="1"/>
        </w:numPr>
        <w:spacing w:after="240" w:before="0" w:line="276"/>
      </w:pPr>
      <w:r>
        <w:rPr>
          <w:rFonts w:ascii="Arial" w:cs="Arial" w:eastAsia="Arial" w:hAnsi="Arial"/>
          <w:b w:val="false"/>
          <w:bCs w:val="false"/>
          <w:i w:val="false"/>
          <w:iCs w:val="false"/>
          <w:sz w:val="22"/>
          <w:szCs w:val="22"/>
        </w:rPr>
        <w:t xml:space="preserve">Jerome County's agricultural sector is anchored by irrigated cropland that is among the most productive in the nation</w:t>
      </w:r>
    </w:p>
    <w:p>
      <w:pPr>
        <w:spacing w:after="240" w:before="0" w:line="276"/>
      </w:pPr>
      <w:r>
        <w:rPr>
          <w:rFonts w:ascii="Arial" w:cs="Arial" w:eastAsia="Arial" w:hAnsi="Arial"/>
          <w:b w:val="false"/>
          <w:bCs w:val="false"/>
          <w:i w:val="false"/>
          <w:iCs w:val="false"/>
          <w:sz w:val="22"/>
          <w:szCs w:val="22"/>
        </w:rPr>
        <w:t xml:space="preserve">The reform package's Class I/II soil protection ensures this tax base remains intact.</w:t>
      </w:r>
    </w:p>
    <w:p>
      <w:pPr>
        <w:spacing w:after="160" w:before="360" w:line="276"/>
      </w:pPr>
      <w:r>
        <w:rPr>
          <w:rFonts w:ascii="Arial" w:cs="Arial" w:eastAsia="Arial" w:hAnsi="Arial"/>
          <w:b/>
          <w:bCs/>
          <w:i w:val="false"/>
          <w:iCs w:val="false"/>
          <w:color w:val="1F3864"/>
          <w:sz w:val="56"/>
          <w:szCs w:val="56"/>
        </w:rPr>
        <w:t xml:space="preserve">C. The Tax Revenue Illusion — Energy Projects</w:t>
      </w:r>
    </w:p>
    <w:p>
      <w:pPr>
        <w:spacing w:after="200" w:before="0" w:line="276"/>
      </w:pPr>
      <w:r>
        <w:rPr>
          <w:rFonts w:ascii="Arial" w:cs="Arial" w:eastAsia="Arial" w:hAnsi="Arial"/>
          <w:b w:val="false"/>
          <w:bCs w:val="false"/>
          <w:i w:val="false"/>
          <w:iCs w:val="false"/>
          <w:sz w:val="22"/>
          <w:szCs w:val="22"/>
        </w:rPr>
        <w:t xml:space="preserve">Large-scale energy projects are frequently promoted as tax revenue generators. The reality is more nuanced:</w:t>
      </w:r>
    </w:p>
    <w:p>
      <w:pPr>
        <w:spacing w:after="160" w:before="0" w:line="276"/>
        <w:jc w:val="center"/>
      </w:pPr>
      <w:r>
        <w:rPr>
          <w:rFonts w:ascii="Arial" w:cs="Arial" w:eastAsia="Arial" w:hAnsi="Arial"/>
          <w:b/>
          <w:bCs/>
          <w:i w:val="false"/>
          <w:iCs w:val="false"/>
          <w:color w:val="2E75B6"/>
          <w:sz w:val="24"/>
          <w:szCs w:val="24"/>
        </w:rPr>
        <w:t xml:space="preserve">Common Tax Incentives for Large Energy Projects in Idaho</w:t>
      </w:r>
    </w:p>
    <w:tbl>
      <w:tblPr>
        <w:tblW w:type="dxa" w:w="936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tblGrid>
      <w:tr>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Incentive</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Effect</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Idaho Code</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Renewable Energy Equipment Exemption</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Solar/wind equipment exempt from property tax for up to 5 years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§63-3622B</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Investment Tax Credit Passthrough</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Federal ITC reduces effective taxable value</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26 U.S.C. §48</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PILOT Agreements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Negotiated payments in lieu of taxes, typically 50-80% below standard rates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Local negotiation</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Tax Increment Financing (TIF)</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Tax revenue diverted to developer-favorable districts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§50-2901 et seq.</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Data Center Incentives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State and local incentive packages as condition of siting</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Varies by deal</w:t>
            </w:r>
          </w:p>
        </w:tc>
      </w:tr>
    </w:tbl>
    <w:p>
      <w:pPr>
        <w:spacing w:after="240" w:before="200" w:line="276"/>
      </w:pPr>
      <w:r>
        <w:rPr>
          <w:rFonts w:ascii="Arial" w:cs="Arial" w:eastAsia="Arial" w:hAnsi="Arial"/>
          <w:b/>
          <w:bCs/>
          <w:i w:val="false"/>
          <w:iCs w:val="false"/>
          <w:color w:val="C0392B"/>
          <w:sz w:val="22"/>
          <w:szCs w:val="22"/>
        </w:rPr>
        <w:t xml:space="preserve">Bottom line: The headline tax revenue number promoted by developers rarely reflects what the county actually receives after incentives, exemptions, and negotiated concessions.</w:t>
      </w:r>
    </w:p>
    <w:p>
      <w:pPr>
        <w:spacing w:after="160" w:before="360" w:line="276"/>
      </w:pPr>
      <w:r>
        <w:rPr>
          <w:rFonts w:ascii="Arial" w:cs="Arial" w:eastAsia="Arial" w:hAnsi="Arial"/>
          <w:b/>
          <w:bCs/>
          <w:i w:val="false"/>
          <w:iCs w:val="false"/>
          <w:color w:val="1F3864"/>
          <w:sz w:val="56"/>
          <w:szCs w:val="56"/>
        </w:rPr>
        <w:t xml:space="preserve">D. Stranded Asset Risk — The $700 Billion Question</w:t>
      </w:r>
    </w:p>
    <w:p>
      <w:pPr>
        <w:spacing w:after="200" w:before="0" w:line="276"/>
      </w:pPr>
      <w:r>
        <w:rPr>
          <w:rFonts w:ascii="Arial" w:cs="Arial" w:eastAsia="Arial" w:hAnsi="Arial"/>
          <w:b w:val="false"/>
          <w:bCs w:val="false"/>
          <w:i w:val="false"/>
          <w:iCs w:val="false"/>
          <w:sz w:val="22"/>
          <w:szCs w:val="22"/>
        </w:rPr>
        <w:t xml:space="preserve">The reform package's data center crisis position paper (Document 9) documents that the current AI-driven infrastructure boom has structural characteristics of a speculative bubble. The fiscal implications of bubble deflation are severe:</w:t>
      </w:r>
    </w:p>
    <w:p>
      <w:pPr>
        <w:spacing w:after="160" w:before="0" w:line="276"/>
        <w:jc w:val="center"/>
      </w:pPr>
      <w:r>
        <w:rPr>
          <w:rFonts w:ascii="Arial" w:cs="Arial" w:eastAsia="Arial" w:hAnsi="Arial"/>
          <w:b/>
          <w:bCs/>
          <w:i w:val="false"/>
          <w:iCs w:val="false"/>
          <w:color w:val="2E75B6"/>
          <w:sz w:val="24"/>
          <w:szCs w:val="24"/>
        </w:rPr>
        <w:t xml:space="preserve">Stranded Asset Fiscal Impact Scenarios</w:t>
      </w:r>
    </w:p>
    <w:tbl>
      <w:tblPr>
        <w:tblW w:type="dxa" w:w="936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gridCol w:w="100"/>
        <w:gridCol w:w="100"/>
      </w:tblGrid>
      <w:tr>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Scenario</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Tax Revenue</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Cleanup Cost</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Agricultural Recovery</w:t>
            </w:r>
          </w:p>
        </w:tc>
        <w:tc>
          <w:tcPr>
            <w:tcW w:type="dxa" w:w="1872"/>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Net Fiscal Impact</w:t>
            </w:r>
          </w:p>
        </w:tc>
      </w:tr>
      <w:tr>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Project operates full term</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Positive (reduced by incentives)</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Bonded (with reform package)</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N/A</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Moderate positive</w:t>
            </w:r>
          </w:p>
        </w:tc>
      </w:tr>
      <w:tr>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Project abandoned at year 10</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Drops to zero</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$5-15M per 500-acre installation</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Lost permanently if soil degraded</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Severe negative</w:t>
            </w:r>
          </w:p>
        </w:tc>
      </w:tr>
      <w:tr>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Project abandoned, NO bond</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Drops to zero</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Falls to county taxpayers</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Lost permanently</w:t>
            </w:r>
          </w:p>
        </w:tc>
        <w:tc>
          <w:tcPr>
            <w:tcW w:type="dxa" w:w="1872"/>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Catastrophic</w:t>
            </w:r>
          </w:p>
        </w:tc>
      </w:tr>
    </w:tbl>
    <w:p>
      <w:pPr>
        <w:spacing w:after="160" w:before="200" w:line="276"/>
      </w:pPr>
      <w:r>
        <w:rPr>
          <w:rFonts w:ascii="Arial" w:cs="Arial" w:eastAsia="Arial" w:hAnsi="Arial"/>
          <w:b/>
          <w:bCs/>
          <w:i w:val="false"/>
          <w:iCs w:val="false"/>
          <w:sz w:val="22"/>
          <w:szCs w:val="22"/>
        </w:rPr>
        <w:t xml:space="preserve">The reform package's 125% decommissioning bond requirement is the critical fiscal protection. Without it, abandoned facilities become unfunded county liabilities.</w:t>
      </w:r>
    </w:p>
    <w:p>
      <w:pPr>
        <w:spacing w:after="240" w:before="0" w:line="276"/>
      </w:pPr>
      <w:r>
        <w:rPr>
          <w:rFonts w:ascii="Arial" w:cs="Arial" w:eastAsia="Arial" w:hAnsi="Arial"/>
          <w:b/>
          <w:bCs/>
          <w:i w:val="false"/>
          <w:iCs w:val="false"/>
          <w:color w:val="C0392B"/>
          <w:sz w:val="22"/>
          <w:szCs w:val="22"/>
        </w:rPr>
        <w:t xml:space="preserve">Historical precedent: Wyoming's orphaned oil well cleanup program has cost state taxpayers over $400 million. Idaho should learn from this example.</w:t>
      </w:r>
    </w:p>
    <w:p>
      <w:pPr>
        <w:spacing w:after="160" w:before="360" w:line="276"/>
      </w:pPr>
      <w:r>
        <w:rPr>
          <w:rFonts w:ascii="Arial" w:cs="Arial" w:eastAsia="Arial" w:hAnsi="Arial"/>
          <w:b/>
          <w:bCs/>
          <w:i w:val="false"/>
          <w:iCs w:val="false"/>
          <w:color w:val="1F3864"/>
          <w:sz w:val="56"/>
          <w:szCs w:val="56"/>
        </w:rPr>
        <w:t xml:space="preserve">E. Utility Rate Impacts</w:t>
      </w:r>
    </w:p>
    <w:p>
      <w:pPr>
        <w:spacing w:after="160" w:before="0" w:line="276"/>
      </w:pPr>
      <w:r>
        <w:rPr>
          <w:rFonts w:ascii="Arial" w:cs="Arial" w:eastAsia="Arial" w:hAnsi="Arial"/>
          <w:b w:val="false"/>
          <w:bCs w:val="false"/>
          <w:i w:val="false"/>
          <w:iCs w:val="false"/>
          <w:sz w:val="22"/>
          <w:szCs w:val="22"/>
        </w:rPr>
        <w:t xml:space="preserve">Large energy consumers — particularly data centers — drive utility infrastructure expansion that is funded by rate increases on ALL customers: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Idaho Power 2025 rate case: 7.48% average increase (original ask was 17% on residential customers)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Idaho Power 20-year plan: projects 50-75% capacity increase needed for new large loads</w:t>
      </w:r>
    </w:p>
    <w:p>
      <w:pPr>
        <w:pStyle w:val="ListParagraph"/>
        <w:numPr>
          <w:ilvl w:val="0"/>
          <w:numId w:val="1"/>
        </w:numPr>
        <w:spacing w:after="80" w:before="0" w:line="276"/>
      </w:pPr>
      <w:r>
        <w:rPr>
          <w:rFonts w:ascii="Arial" w:cs="Arial" w:eastAsia="Arial" w:hAnsi="Arial"/>
          <w:b w:val="false"/>
          <w:bCs w:val="false"/>
          <w:i w:val="false"/>
          <w:iCs w:val="false"/>
          <w:sz w:val="22"/>
          <w:szCs w:val="22"/>
        </w:rPr>
        <w:t xml:space="preserve">Gemstone Technology Park (Kuna): estimated 600-800 MW demand — roughly 20% of Idaho Power's entire current generation capacity</w:t>
      </w:r>
    </w:p>
    <w:p>
      <w:pPr>
        <w:pStyle w:val="ListParagraph"/>
        <w:numPr>
          <w:ilvl w:val="0"/>
          <w:numId w:val="1"/>
        </w:numPr>
        <w:spacing w:after="240" w:before="0" w:line="276"/>
      </w:pPr>
      <w:r>
        <w:rPr>
          <w:rFonts w:ascii="Arial" w:cs="Arial" w:eastAsia="Arial" w:hAnsi="Arial"/>
          <w:b w:val="false"/>
          <w:bCs w:val="false"/>
          <w:i w:val="false"/>
          <w:iCs w:val="false"/>
          <w:sz w:val="22"/>
          <w:szCs w:val="22"/>
        </w:rPr>
        <w:t xml:space="preserve">Rate increases affect every household and business in the county, including agricultural operations that depend on affordable power for irrigation pumping</w:t>
      </w:r>
    </w:p>
    <w:p>
      <w:pPr>
        <w:spacing w:after="240" w:before="0" w:line="276"/>
      </w:pPr>
      <w:r>
        <w:rPr>
          <w:rFonts w:ascii="Arial" w:cs="Arial" w:eastAsia="Arial" w:hAnsi="Arial"/>
          <w:b/>
          <w:bCs/>
          <w:i w:val="false"/>
          <w:iCs w:val="false"/>
          <w:sz w:val="22"/>
          <w:szCs w:val="22"/>
        </w:rPr>
        <w:t xml:space="preserve">The reform package's data center definition and Tier 3 classification requirements ensure that the county has a voice in decisions that will affect every ratepayer.</w:t>
      </w:r>
    </w:p>
    <w:p>
      <w:pPr>
        <w:spacing w:after="200" w:before="360" w:line="276"/>
      </w:pPr>
      <w:r>
        <w:rPr>
          <w:rFonts w:ascii="Arial" w:cs="Arial" w:eastAsia="Arial" w:hAnsi="Arial"/>
          <w:b/>
          <w:bCs/>
          <w:i w:val="false"/>
          <w:iCs w:val="false"/>
          <w:color w:val="1F3864"/>
          <w:sz w:val="56"/>
          <w:szCs w:val="56"/>
        </w:rPr>
        <w:t xml:space="preserve">F. The Net Fiscal Equation</w:t>
      </w:r>
    </w:p>
    <w:tbl>
      <w:tblPr>
        <w:tblW w:type="dxa" w:w="936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tblGrid>
      <w:tr>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Fiscal Factor</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Unrestricted Development</w:t>
            </w:r>
          </w:p>
        </w:tc>
        <w:tc>
          <w:tcPr>
            <w:tcW w:type="dxa" w:w="3120"/>
            <w:tcBorders>
              <w:top w:val="single" w:color="999999" w:sz="1"/>
              <w:left w:val="single" w:color="999999" w:sz="1"/>
              <w:bottom w:val="single" w:color="999999" w:sz="1"/>
              <w:right w:val="single" w:color="999999" w:sz="1"/>
            </w:tcBorders>
            <w:shd w:fill="E8EEF7" w:val="clear"/>
            <w:tcMar>
              <w:top w:type="dxa" w:w="80"/>
              <w:left w:type="dxa" w:w="120"/>
              <w:bottom w:type="dxa" w:w="80"/>
              <w:right w:type="dxa" w:w="120"/>
            </w:tcMar>
            <w:vAlign w:val="center"/>
          </w:tcPr>
          <w:p>
            <w:pPr>
              <w:spacing w:after="40"/>
            </w:pPr>
            <w:r>
              <w:rPr>
                <w:rFonts w:ascii="Arial" w:cs="Arial" w:eastAsia="Arial" w:hAnsi="Arial"/>
                <w:b/>
                <w:bCs/>
                <w:color w:val="2E75B6"/>
                <w:sz w:val="22"/>
                <w:szCs w:val="22"/>
              </w:rPr>
              <w:t xml:space="preserve">With Reform Package</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Agricultural tax base</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At risk of permanent conversion</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Protected by Class I/II prohibition</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Energy project tax revenue</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High initially, uncertain long-term, reduced by incentives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Moderate, more sustainable, appropriately scrutinized</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Decommissioning liability</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Unfunded — taxpayer-funded if abandoned</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125% bonded before permit issuance</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Utility rates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Significant increases passed to all customers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Growth managed through Tier 3 review process</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Rural property values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Depressed near industrial facilities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Protected by setbacks, buffers, and zoning</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Water resource costs</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Externalized to public</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Regulated through EIA and data center thresholds</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Emergency services burden</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Unfunded BESS response capability required</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BESS prohibited in ag zones; Tier 3 safety review required</w:t>
            </w:r>
          </w:p>
        </w:tc>
      </w:tr>
      <w:tr>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Long-term fiscal stability</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Dependent on continued private investment</w:t>
            </w:r>
          </w:p>
        </w:tc>
        <w:tc>
          <w:tcPr>
            <w:tcW w:type="dxa" w:w="3120"/>
            <w:tcBorders>
              <w:top w:val="single" w:color="999999" w:sz="1"/>
              <w:left w:val="single" w:color="999999" w:sz="1"/>
              <w:bottom w:val="single" w:color="999999" w:sz="1"/>
              <w:right w:val="single" w:color="999999" w:sz="1"/>
            </w:tcBorders>
            <w:shd w:fill="FFFFFF" w:val="clear"/>
            <w:tcMar>
              <w:top w:type="dxa" w:w="80"/>
              <w:left w:type="dxa" w:w="120"/>
              <w:bottom w:type="dxa" w:w="80"/>
              <w:right w:type="dxa" w:w="120"/>
            </w:tcMar>
            <w:vAlign w:val="center"/>
          </w:tcPr>
          <w:p>
            <w:pPr>
              <w:spacing w:after="40"/>
            </w:pPr>
            <w:r>
              <w:rPr>
                <w:rFonts w:ascii="Arial" w:cs="Arial" w:eastAsia="Arial" w:hAnsi="Arial"/>
                <w:b w:val="false"/>
                <w:bCs w:val="false"/>
                <w:color w:val="000000"/>
                <w:sz w:val="22"/>
                <w:szCs w:val="22"/>
              </w:rPr>
              <w:t xml:space="preserve">Anchored by permanent agricultural productivity</w:t>
            </w:r>
          </w:p>
        </w:tc>
      </w:tr>
    </w:tbl>
    <w:p>
      <w:pPr>
        <w:spacing w:after="160" w:before="360" w:line="276"/>
      </w:pPr>
      <w:r>
        <w:rPr>
          <w:rFonts w:ascii="Arial" w:cs="Arial" w:eastAsia="Arial" w:hAnsi="Arial"/>
          <w:b/>
          <w:bCs/>
          <w:i w:val="false"/>
          <w:iCs w:val="false"/>
          <w:color w:val="1F3864"/>
          <w:sz w:val="56"/>
          <w:szCs w:val="56"/>
        </w:rPr>
        <w:t xml:space="preserve">G. The "We Need the Tax Base" Argument</w:t>
      </w:r>
    </w:p>
    <w:p>
      <w:pPr>
        <w:spacing w:after="160" w:before="0" w:line="276"/>
      </w:pPr>
      <w:r>
        <w:rPr>
          <w:rFonts w:ascii="Arial" w:cs="Arial" w:eastAsia="Arial" w:hAnsi="Arial"/>
          <w:b w:val="false"/>
          <w:bCs w:val="false"/>
          <w:i w:val="false"/>
          <w:iCs w:val="false"/>
          <w:sz w:val="22"/>
          <w:szCs w:val="22"/>
        </w:rPr>
        <w:t xml:space="preserve">This is the most commonly raised fiscal objection. The response is straightforward:</w:t>
      </w:r>
    </w:p>
    <w:p>
      <w:pPr>
        <w:spacing w:after="160" w:before="0" w:line="276"/>
      </w:pPr>
      <w:r>
        <w:rPr>
          <w:rFonts w:ascii="Arial" w:cs="Arial" w:eastAsia="Arial" w:hAnsi="Arial"/>
          <w:b w:val="false"/>
          <w:bCs w:val="false"/>
          <w:i w:val="false"/>
          <w:iCs w:val="false"/>
          <w:sz w:val="22"/>
          <w:szCs w:val="22"/>
        </w:rPr>
        <w:t xml:space="preserve">Jerome County's agricultural sector already provides a stable, diversified, and self-sustaining tax base. The county is not in fiscal distress. It does not need to accept industrial energy development on agricultural land to balance its budget.</w:t>
      </w:r>
    </w:p>
    <w:p>
      <w:pPr>
        <w:spacing w:after="160" w:before="0" w:line="276"/>
      </w:pPr>
      <w:r>
        <w:rPr>
          <w:rFonts w:ascii="Arial" w:cs="Arial" w:eastAsia="Arial" w:hAnsi="Arial"/>
          <w:b w:val="false"/>
          <w:bCs w:val="false"/>
          <w:i w:val="false"/>
          <w:iCs w:val="false"/>
          <w:sz w:val="22"/>
          <w:szCs w:val="22"/>
        </w:rPr>
        <w:t xml:space="preserve">The CSPM framework (Document 17) scores Economic Conditions on a 0-10 scale. Counties in genuine fiscal distress — where energy development represents an economic lifeline — score high on this dimension, which argues against restriction. Jerome County does not score high on this dimension. Its economy is anchored by one of the most productive agricultural regions in the nation.</w:t>
      </w:r>
    </w:p>
    <w:p>
      <w:pPr>
        <w:spacing w:after="240" w:before="0" w:line="276"/>
      </w:pPr>
      <w:r>
        <w:rPr>
          <w:rFonts w:ascii="Arial" w:cs="Arial" w:eastAsia="Arial" w:hAnsi="Arial"/>
          <w:b/>
          <w:bCs/>
          <w:i w:val="false"/>
          <w:iCs w:val="false"/>
          <w:color w:val="2E75B6"/>
          <w:sz w:val="22"/>
          <w:szCs w:val="22"/>
        </w:rPr>
        <w:t xml:space="preserve">The question is not whether energy development generates tax revenue. It does. The question is whether the long-term fiscal risk of unrestricted development outweighs the short-term revenue benefit. This analysis demonstrates that it does.</w:t>
      </w:r>
    </w:p>
    <w:p>
      <w:pPr>
        <w:spacing w:after="160" w:before="360" w:line="276"/>
      </w:pPr>
      <w:r>
        <w:rPr>
          <w:rFonts w:ascii="Arial" w:cs="Arial" w:eastAsia="Arial" w:hAnsi="Arial"/>
          <w:b/>
          <w:bCs/>
          <w:i w:val="false"/>
          <w:iCs w:val="false"/>
          <w:color w:val="1F3864"/>
          <w:sz w:val="56"/>
          <w:szCs w:val="56"/>
        </w:rPr>
        <w:t xml:space="preserve">H. Conclusion</w:t>
      </w:r>
    </w:p>
    <w:p>
      <w:pPr>
        <w:spacing w:after="240" w:before="0" w:line="276"/>
      </w:pPr>
      <w:r>
        <w:rPr>
          <w:rFonts w:ascii="Arial" w:cs="Arial" w:eastAsia="Arial" w:hAnsi="Arial"/>
          <w:b w:val="false"/>
          <w:bCs w:val="false"/>
          <w:i w:val="false"/>
          <w:iCs w:val="false"/>
          <w:sz w:val="22"/>
          <w:szCs w:val="22"/>
        </w:rPr>
        <w:t xml:space="preserve">Responsible regulation does not cost the county money. It prevents the county from absorbing costs that should be borne by developers. The reform package's key fiscal protections — decommissioning bonds, Class I/II soil preservation, data center review requirements, and BESS agricultural zone prohibition — each serve a specific fiscal purpose: ensuring that the risks and costs of energy development are not externalized to Jerome County taxpayers.</w:t>
      </w:r>
    </w:p>
    <w:p>
      <w:pPr>
        <w:pBdr>
          <w:top w:val="single" w:color="2E75B6" w:sz="8" w:space="1"/>
        </w:pBdr>
        <w:spacing w:after="160" w:before="400" w:line="276"/>
      </w:pPr>
      <w:r>
        <w:rPr>
          <w:rFonts w:ascii="Arial" w:cs="Arial" w:eastAsia="Arial" w:hAnsi="Arial"/>
          <w:b w:val="false"/>
          <w:bCs w:val="false"/>
          <w:i w:val="false"/>
          <w:iCs w:val="false"/>
          <w:sz w:val="22"/>
          <w:szCs w:val="22"/>
        </w:rPr>
        <w:t xml:space="preserve"/>
      </w:r>
    </w:p>
    <w:p>
      <w:pPr>
        <w:spacing w:after="80" w:before="0" w:line="276"/>
        <w:jc w:val="center"/>
      </w:pPr>
      <w:r>
        <w:rPr>
          <w:rFonts w:ascii="Arial" w:cs="Arial" w:eastAsia="Arial" w:hAnsi="Arial"/>
          <w:b w:val="false"/>
          <w:bCs w:val="false"/>
          <w:i w:val="false"/>
          <w:iCs w:val="false"/>
          <w:color w:val="666666"/>
          <w:sz w:val="32"/>
          <w:szCs w:val="32"/>
        </w:rPr>
        <w:t xml:space="preserve">Jerome County Energy Ordinance Reform Package — Document 16 of 17</w:t>
      </w:r>
    </w:p>
    <w:p>
      <w:pPr>
        <w:spacing w:after="160" w:before="0" w:line="276"/>
        <w:jc w:val="center"/>
      </w:pPr>
      <w:r>
        <w:rPr>
          <w:rFonts w:ascii="Arial" w:cs="Arial" w:eastAsia="Arial" w:hAnsi="Arial"/>
          <w:b w:val="false"/>
          <w:bCs w:val="false"/>
          <w:i w:val="false"/>
          <w:iCs w:val="false"/>
          <w:color w:val="666666"/>
          <w:sz w:val="32"/>
          <w:szCs w:val="32"/>
        </w:rPr>
        <w:t xml:space="preserve">Logo  Jeff Pierson | Confidential Solutions LLC | Jerome, Idaho</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Fiscal Impact and Tax Revenue Analysis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as Document 16. Tax revenue trade-offs, PILOT analysis, stranded asset scenarios, net fiscal equation.</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integrated into 17-document package</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2026-03-23T07:48:06.384Z</dcterms:created>
  <dcterms:modified xsi:type="dcterms:W3CDTF">2026-03-23T07:48:06.385Z</dcterms:modified>
</cp:coreProperties>
</file>

<file path=docProps/custom.xml><?xml version="1.0" encoding="utf-8"?>
<Properties xmlns="http://schemas.openxmlformats.org/officeDocument/2006/custom-properties" xmlns:vt="http://schemas.openxmlformats.org/officeDocument/2006/docPropsVTypes"/>
</file>