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400"/>
      </w:pPr>
      <w:r>
        <w:t xml:space="preserve"/>
      </w:r>
    </w:p>
    <w:p>
      <w:pPr>
        <w:spacing w:after="120" w:before="0"/>
        <w:jc w:val="center"/>
      </w:pPr>
      <w:r>
        <w:rPr>
          <w:rFonts w:ascii="Arial" w:cs="Arial" w:eastAsia="Arial" w:hAnsi="Arial"/>
          <w:b/>
          <w:bCs/>
          <w:color w:val="1F3864"/>
          <w:sz w:val="72"/>
          <w:szCs w:val="72"/>
        </w:rPr>
        <w:t xml:space="preserve">JEROME COUNTY</w:t>
      </w:r>
    </w:p>
    <w:p>
      <w:pPr>
        <w:spacing w:after="240" w:before="0"/>
        <w:jc w:val="center"/>
      </w:pPr>
      <w:r>
        <w:rPr>
          <w:rFonts w:ascii="Arial" w:cs="Arial" w:eastAsia="Arial" w:hAnsi="Arial"/>
          <w:b/>
          <w:bCs/>
          <w:color w:val="2E75B6"/>
          <w:sz w:val="56"/>
          <w:szCs w:val="56"/>
        </w:rPr>
        <w:t xml:space="preserve">Energy Ordinance Reform Package</w:t>
      </w:r>
    </w:p>
    <w:p>
      <w:pPr>
        <w:pBdr>
          <w:bottom w:val="single" w:color="2E75B6" w:sz="8"/>
        </w:pBdr>
        <w:spacing w:after="240" w:before="0"/>
        <w:jc w:val="center"/>
      </w:pPr>
      <w:r>
        <w:t xml:space="preserve"/>
      </w:r>
    </w:p>
    <w:p>
      <w:pPr>
        <w:spacing w:after="240" w:before="0"/>
        <w:jc w:val="center"/>
      </w:pPr>
      <w:r>
        <w:rPr>
          <w:rFonts w:ascii="Arial" w:cs="Arial" w:eastAsia="Arial" w:hAnsi="Arial"/>
          <w:color w:val="2E75B6"/>
          <w:sz w:val="44"/>
          <w:szCs w:val="44"/>
        </w:rPr>
        <w:t xml:space="preserve">Document 15 of 17</w:t>
      </w:r>
    </w:p>
    <w:p>
      <w:pPr>
        <w:spacing w:after="240" w:before="0"/>
        <w:jc w:val="center"/>
      </w:pPr>
      <w:r>
        <w:rPr>
          <w:rFonts w:ascii="Arial" w:cs="Arial" w:eastAsia="Arial" w:hAnsi="Arial"/>
          <w:b/>
          <w:bCs/>
          <w:color w:val="1F3864"/>
          <w:sz w:val="64"/>
          <w:szCs w:val="64"/>
        </w:rPr>
        <w:t xml:space="preserve">Legal Framework and Defensibility Analysis</w:t>
      </w:r>
    </w:p>
    <w:p>
      <w:pPr>
        <w:spacing w:after="240" w:before="0"/>
        <w:jc w:val="center"/>
      </w:pPr>
      <w:r>
        <w:rPr>
          <w:rFonts w:ascii="Arial" w:cs="Arial" w:eastAsia="Arial" w:hAnsi="Arial"/>
          <w:color w:val="2E75B6"/>
          <w:sz w:val="44"/>
          <w:szCs w:val="44"/>
        </w:rPr>
        <w:t xml:space="preserve">An analysis of the constitutional, statutory, and regulatory basis for each provision in the reform package and an assessment of potential legal challenges</w:t>
      </w:r>
    </w:p>
    <w:p>
      <w:pPr>
        <w:spacing w:after="120" w:before="120"/>
        <w:jc w:val="center"/>
      </w:pPr>
      <w:r>
        <w:rPr>
          <w:rFonts w:ascii="Arial" w:cs="Arial" w:eastAsia="Arial" w:hAnsi="Arial"/>
          <w:b/>
          <w:bCs/>
          <w:sz w:val="44"/>
          <w:szCs w:val="44"/>
        </w:rPr>
        <w:t xml:space="preserve">Prepared by Jeff Pierson</w:t>
      </w:r>
    </w:p>
    <w:p>
      <w:pPr>
        <w:spacing w:after="120" w:before="0"/>
        <w:jc w:val="center"/>
      </w:pPr>
      <w:r>
        <w:rPr>
          <w:rFonts w:ascii="Arial" w:cs="Arial" w:eastAsia="Arial" w:hAnsi="Arial"/>
          <w:color w:val="666666"/>
          <w:sz w:val="40"/>
          <w:szCs w:val="40"/>
        </w:rPr>
        <w:t xml:space="preserve">Confidential Solutions LLC | Jerome, Idaho</w:t>
      </w:r>
    </w:p>
    <w:p>
      <w:pPr>
        <w:spacing w:after="0" w:before="0"/>
        <w:jc w:val="center"/>
      </w:pPr>
      <w:r>
        <w:rPr>
          <w:rFonts w:ascii="Arial" w:cs="Arial" w:eastAsia="Arial" w:hAnsi="Arial"/>
          <w:color w:val="666666"/>
          <w:sz w:val="40"/>
          <w:szCs w:val="40"/>
        </w:rPr>
        <w:t xml:space="preserve">March 2026</w:t>
      </w:r>
    </w:p>
    <w:p>
      <w:pPr>
        <w:sectPr>
          <w:pgSz w:w="12240" w:h="15840" w:orient="portrait"/>
          <w:pgMar w:top="1440" w:right="1440" w:bottom="1440" w:left="1440" w:header="708" w:footer="708" w:gutter="0"/>
          <w:pgNumType/>
          <w:docGrid w:linePitch="360"/>
        </w:sectPr>
      </w:pPr>
    </w:p>
    <w:p>
      <w:pPr>
        <w:pBdr>
          <w:bottom w:val="single" w:color="2E75B6" w:sz="4"/>
        </w:pBdr>
        <w:spacing w:after="120" w:before="0"/>
        <w:jc w:val="right"/>
      </w:pPr>
      <w:r>
        <w:rPr>
          <w:rFonts w:ascii="Arial" w:cs="Arial" w:eastAsia="Arial" w:hAnsi="Arial"/>
          <w:color w:val="666666"/>
          <w:sz w:val="32"/>
          <w:szCs w:val="32"/>
        </w:rPr>
        <w:t xml:space="preserve">LEGAL FRAMEWORK AND DEFENSIBILITY ANALYSIS</w:t>
      </w:r>
    </w:p>
    <w:p>
      <w:pPr>
        <w:spacing w:after="160" w:before="360" w:line="360"/>
        <w:jc w:val="left"/>
        <w:outlineLvl w:val="0"/>
      </w:pPr>
      <w:r>
        <w:rPr>
          <w:rFonts w:ascii="Arial" w:cs="Arial" w:eastAsia="Arial" w:hAnsi="Arial"/>
          <w:b/>
          <w:bCs/>
          <w:color w:val="1F3864"/>
          <w:sz w:val="28"/>
          <w:szCs w:val="28"/>
        </w:rPr>
        <w:t xml:space="preserve">A. Purpose and Scope</w:t>
      </w:r>
    </w:p>
    <w:p>
      <w:pPr>
        <w:spacing w:after="120" w:before="120" w:line="360"/>
        <w:jc w:val="left"/>
      </w:pPr>
      <w:r>
        <w:rPr>
          <w:rFonts w:ascii="Arial" w:cs="Arial" w:eastAsia="Arial" w:hAnsi="Arial"/>
          <w:color w:val="000000"/>
          <w:sz w:val="22"/>
          <w:szCs w:val="22"/>
        </w:rPr>
        <w:t xml:space="preserve">This document demonstrates that the Jerome County Energy Ordinance Reform Package has been designed with constitutional and statutory defensibility as a foundational requirement. Every provision has been evaluated against applicable legal standards. This analysis is provided to assist the Board of County Commissioners and County legal counsel in evaluating the package's legal soundness.</w:t>
      </w:r>
    </w:p>
    <w:p>
      <w:pPr>
        <w:spacing w:after="120" w:before="120" w:line="360"/>
        <w:jc w:val="left"/>
      </w:pPr>
      <w:r>
        <w:rPr>
          <w:rFonts w:ascii="Arial" w:cs="Arial" w:eastAsia="Arial" w:hAnsi="Arial"/>
          <w:color w:val="000000"/>
          <w:sz w:val="22"/>
          <w:szCs w:val="22"/>
        </w:rPr>
        <w:t xml:space="preserve">This document should be read alongside Document 8 (Legal, Ethical &amp; Moral Justification), which provides the affirmative constitutional basis for the package. This document addresses potential challenges and demonstrates that each provision has been designed to withstand them.</w:t>
      </w:r>
    </w:p>
    <w:p>
      <w:pPr>
        <w:spacing w:after="160" w:before="360" w:line="360"/>
        <w:jc w:val="left"/>
        <w:outlineLvl w:val="0"/>
      </w:pPr>
      <w:r>
        <w:rPr>
          <w:rFonts w:ascii="Arial" w:cs="Arial" w:eastAsia="Arial" w:hAnsi="Arial"/>
          <w:b/>
          <w:bCs/>
          <w:color w:val="1F3864"/>
          <w:sz w:val="28"/>
          <w:szCs w:val="28"/>
        </w:rPr>
        <w:t xml:space="preserve">B. Statutory Authority — Idaho's Grant of Power</w:t>
      </w:r>
    </w:p>
    <w:p>
      <w:pPr>
        <w:spacing w:after="120" w:before="120" w:line="360"/>
        <w:jc w:val="left"/>
      </w:pPr>
      <w:r>
        <w:rPr>
          <w:rFonts w:ascii="Arial" w:cs="Arial" w:eastAsia="Arial" w:hAnsi="Arial"/>
          <w:color w:val="000000"/>
          <w:sz w:val="22"/>
          <w:szCs w:val="22"/>
        </w:rPr>
        <w:t xml:space="preserve">Idaho is a Dillon's Rule state — counties have only powers expressly granted or necessarily implied by the state legislature. The reform package operates squarely within these grants:</w:t>
      </w:r>
    </w:p>
    <w:p>
      <w:pPr>
        <w:spacing w:after="60" w:before="60" w:line="360"/>
        <w:jc w:val="left"/>
      </w:pPr>
      <w:r>
        <w:rPr>
          <w:rFonts w:ascii="Arial" w:cs="Arial" w:eastAsia="Arial" w:hAnsi="Arial"/>
          <w:color w:val="000000"/>
          <w:sz w:val="22"/>
          <w:szCs w:val="22"/>
        </w:rPr>
        <w:t xml:space="preserve">• Idaho Code §67-6511: Expressly grants zoning authority to counties</w:t>
      </w:r>
    </w:p>
    <w:p>
      <w:pPr>
        <w:spacing w:after="60" w:before="60" w:line="360"/>
        <w:jc w:val="left"/>
      </w:pPr>
      <w:r>
        <w:rPr>
          <w:rFonts w:ascii="Arial" w:cs="Arial" w:eastAsia="Arial" w:hAnsi="Arial"/>
          <w:color w:val="000000"/>
          <w:sz w:val="22"/>
          <w:szCs w:val="22"/>
        </w:rPr>
        <w:t xml:space="preserve">• Idaho Code §67-6509: Authorizes comprehensive planning including land use regulation</w:t>
      </w:r>
    </w:p>
    <w:p>
      <w:pPr>
        <w:spacing w:after="60" w:before="60" w:line="360"/>
        <w:jc w:val="left"/>
      </w:pPr>
      <w:r>
        <w:rPr>
          <w:rFonts w:ascii="Arial" w:cs="Arial" w:eastAsia="Arial" w:hAnsi="Arial"/>
          <w:color w:val="000000"/>
          <w:sz w:val="22"/>
          <w:szCs w:val="22"/>
        </w:rPr>
        <w:t xml:space="preserve">• Idaho Code §67-6512: Establishes conditional use permit authority with notice requirements</w:t>
      </w:r>
    </w:p>
    <w:p>
      <w:pPr>
        <w:spacing w:after="120" w:before="60" w:line="360"/>
        <w:jc w:val="left"/>
      </w:pPr>
      <w:r>
        <w:rPr>
          <w:rFonts w:ascii="Arial" w:cs="Arial" w:eastAsia="Arial" w:hAnsi="Arial"/>
          <w:color w:val="000000"/>
          <w:sz w:val="22"/>
          <w:szCs w:val="22"/>
        </w:rPr>
        <w:t xml:space="preserve">• Idaho HCR032 (2026): Energy sovereignty resolution explicitly supports local decision-making authority over energy siting</w:t>
      </w:r>
    </w:p>
    <w:p>
      <w:pPr>
        <w:spacing w:after="240" w:before="120" w:line="360"/>
        <w:jc w:val="left"/>
      </w:pPr>
      <w:r>
        <w:rPr>
          <w:rFonts w:ascii="Arial" w:cs="Arial" w:eastAsia="Arial" w:hAnsi="Arial"/>
          <w:color w:val="000000"/>
          <w:sz w:val="22"/>
          <w:szCs w:val="22"/>
        </w:rPr>
        <w:t xml:space="preserve">Assessment: STRONG. The three-tier classification system, CUP requirements, and environmental review provisions all fall within powers Idaho law expressly grants to counties.</w:t>
      </w:r>
    </w:p>
    <w:p>
      <w:pPr>
        <w:spacing w:after="160" w:before="360" w:line="360"/>
        <w:jc w:val="left"/>
        <w:outlineLvl w:val="0"/>
      </w:pPr>
      <w:r>
        <w:rPr>
          <w:rFonts w:ascii="Arial" w:cs="Arial" w:eastAsia="Arial" w:hAnsi="Arial"/>
          <w:b/>
          <w:bCs/>
          <w:color w:val="1F3864"/>
          <w:sz w:val="28"/>
          <w:szCs w:val="28"/>
        </w:rPr>
        <w:t xml:space="preserve">C. Takings Analysis (5th Amendment / Idaho Constitution Art. I, §14)</w:t>
      </w:r>
    </w:p>
    <w:tbl>
      <w:tblPr>
        <w:tblW w:type="pct" w:w="100%"/>
        <w:tblBorders>
          <w:top w:val="single" w:color="999999" w:sz="1"/>
          <w:left w:val="single" w:color="999999" w:sz="1"/>
          <w:bottom w:val="single" w:color="999999" w:sz="1"/>
          <w:right w:val="single" w:color="999999" w:sz="1"/>
          <w:insideH w:val="single" w:color="999999" w:sz="1"/>
          <w:insideV w:val="single" w:color="999999" w:sz="1"/>
        </w:tblBorders>
      </w:tblPr>
      <w:tblGrid>
        <w:gridCol w:w="100"/>
        <w:gridCol w:w="100"/>
        <w:gridCol w:w="100"/>
      </w:tblGrid>
      <w:tr>
        <w:tc>
          <w:tcPr>
            <w:tcBorders>
              <w:top w:val="single" w:color="999999" w:sz="1"/>
              <w:left w:val="single" w:color="999999" w:sz="1"/>
              <w:bottom w:val="single" w:color="999999" w:sz="1"/>
              <w:right w:val="single" w:color="999999" w:sz="1"/>
            </w:tcBorders>
            <w:shd w:fill="EEEEEE" w:val="clear"/>
            <w:tcMar>
              <w:top w:type="dxa" w:w="80"/>
              <w:left w:type="dxa" w:w="120"/>
              <w:bottom w:type="dxa" w:w="80"/>
              <w:right w:type="dxa" w:w="120"/>
            </w:tcMar>
            <w:vAlign w:val="center"/>
          </w:tcPr>
          <w:p>
            <w:pPr>
              <w:spacing w:line="360" w:lineRule="auto"/>
              <w:jc w:val="left"/>
            </w:pPr>
            <w:r>
              <w:rPr>
                <w:rFonts w:ascii="Arial" w:cs="Arial" w:eastAsia="Arial" w:hAnsi="Arial"/>
                <w:b/>
                <w:bCs/>
                <w:color w:val="000000"/>
                <w:sz w:val="22"/>
                <w:szCs w:val="22"/>
              </w:rPr>
              <w:t xml:space="preserve">Provision</w:t>
            </w:r>
          </w:p>
        </w:tc>
        <w:tc>
          <w:tcPr>
            <w:tcBorders>
              <w:top w:val="single" w:color="999999" w:sz="1"/>
              <w:left w:val="single" w:color="999999" w:sz="1"/>
              <w:bottom w:val="single" w:color="999999" w:sz="1"/>
              <w:right w:val="single" w:color="999999" w:sz="1"/>
            </w:tcBorders>
            <w:shd w:fill="EEEEEE" w:val="clear"/>
            <w:tcMar>
              <w:top w:type="dxa" w:w="80"/>
              <w:left w:type="dxa" w:w="120"/>
              <w:bottom w:type="dxa" w:w="80"/>
              <w:right w:type="dxa" w:w="120"/>
            </w:tcMar>
            <w:vAlign w:val="center"/>
          </w:tcPr>
          <w:p>
            <w:pPr>
              <w:spacing w:line="360" w:lineRule="auto"/>
              <w:jc w:val="left"/>
            </w:pPr>
            <w:r>
              <w:rPr>
                <w:rFonts w:ascii="Arial" w:cs="Arial" w:eastAsia="Arial" w:hAnsi="Arial"/>
                <w:b/>
                <w:bCs/>
                <w:color w:val="000000"/>
                <w:sz w:val="22"/>
                <w:szCs w:val="22"/>
              </w:rPr>
              <w:t xml:space="preserve">Takings Risk</w:t>
            </w:r>
          </w:p>
        </w:tc>
        <w:tc>
          <w:tcPr>
            <w:tcBorders>
              <w:top w:val="single" w:color="999999" w:sz="1"/>
              <w:left w:val="single" w:color="999999" w:sz="1"/>
              <w:bottom w:val="single" w:color="999999" w:sz="1"/>
              <w:right w:val="single" w:color="999999" w:sz="1"/>
            </w:tcBorders>
            <w:shd w:fill="EEEEEE" w:val="clear"/>
            <w:tcMar>
              <w:top w:type="dxa" w:w="80"/>
              <w:left w:type="dxa" w:w="120"/>
              <w:bottom w:type="dxa" w:w="80"/>
              <w:right w:type="dxa" w:w="120"/>
            </w:tcMar>
            <w:vAlign w:val="center"/>
          </w:tcPr>
          <w:p>
            <w:pPr>
              <w:spacing w:line="360" w:lineRule="auto"/>
              <w:jc w:val="left"/>
            </w:pPr>
            <w:r>
              <w:rPr>
                <w:rFonts w:ascii="Arial" w:cs="Arial" w:eastAsia="Arial" w:hAnsi="Arial"/>
                <w:b/>
                <w:bCs/>
                <w:color w:val="000000"/>
                <w:sz w:val="22"/>
                <w:szCs w:val="22"/>
              </w:rPr>
              <w:t xml:space="preserve">Basis</w:t>
            </w:r>
          </w:p>
        </w:tc>
      </w:tr>
      <w:tr>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Three-tier system</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LOW</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Creates development pathways (Tier 1/2/3) rather than blanket prohibition. Penn Central three-factor test favors county: minimal economic impact (land retains ag value), no interference with existing investment-backed expectations, strong government interest character.</w:t>
            </w:r>
          </w:p>
        </w:tc>
      </w:tr>
      <w:tr>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Class I/II soil prohibition</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LOW</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Farmland preservation upheld repeatedly. USDA-NRCS classifications are objective federal standards. Idaho Agricultural Protection Areas (§22-4501) recognize state interest. No regulatory taking where reasonable use (agriculture) is preserved.</w:t>
            </w:r>
          </w:p>
        </w:tc>
      </w:tr>
      <w:tr>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BESS agricultural zone prohibition</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LOW-MODERATE</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Safety-based zoning restrictions have strong precedent. NFPA 855 standards, thermal runaway risk data, and 92.3% community concern support the restriction. Slightly higher risk because BESS isn't inherently incompatible with agriculture in all contexts.</w:t>
            </w:r>
          </w:p>
        </w:tc>
      </w:tr>
      <w:tr>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Decommissioning bonds (125%)</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LOW</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Analogous to reclamation bonding in mining, which has been upheld consistently. Proportional to restoration costs.</w:t>
            </w:r>
          </w:p>
        </w:tc>
      </w:tr>
      <w:tr>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Data center definition thresholds</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LOW</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Objective, measurable criteria (≥1MW or ≥100K gal/day). Classification triggers review, not prohibition.</w:t>
            </w:r>
          </w:p>
        </w:tc>
      </w:tr>
    </w:tbl>
    <w:p>
      <w:pPr>
        <w:spacing w:after="0" w:before="120" w:line="360"/>
        <w:jc w:val="left"/>
      </w:pPr>
      <w:r>
        <w:rPr>
          <w:rFonts w:ascii="Arial" w:cs="Arial" w:eastAsia="Arial" w:hAnsi="Arial"/>
          <w:color w:val="000000"/>
          <w:sz w:val="22"/>
          <w:szCs w:val="22"/>
        </w:rPr>
        <w:t xml:space="preserve"/>
      </w:r>
    </w:p>
    <w:p>
      <w:pPr>
        <w:spacing w:after="240" w:before="120" w:line="360"/>
        <w:jc w:val="left"/>
      </w:pPr>
      <w:r>
        <w:rPr>
          <w:rFonts w:ascii="Arial" w:cs="Arial" w:eastAsia="Arial" w:hAnsi="Arial"/>
          <w:color w:val="000000"/>
          <w:sz w:val="22"/>
          <w:szCs w:val="22"/>
        </w:rPr>
        <w:t xml:space="preserve">Overall takings assessment: The tiered framework significantly reduces takings exposure compared to Bannock County's total ban approach. By preserving development pathways at every tier while calibrating scrutiny to impact, the package avoids the bright-line prohibition that most commonly triggers successful takings claims.</w:t>
      </w:r>
    </w:p>
    <w:p>
      <w:pPr>
        <w:spacing w:after="160" w:before="360" w:line="360"/>
        <w:jc w:val="left"/>
        <w:outlineLvl w:val="0"/>
      </w:pPr>
      <w:r>
        <w:rPr>
          <w:rFonts w:ascii="Arial" w:cs="Arial" w:eastAsia="Arial" w:hAnsi="Arial"/>
          <w:b/>
          <w:bCs/>
          <w:color w:val="1F3864"/>
          <w:sz w:val="28"/>
          <w:szCs w:val="28"/>
        </w:rPr>
        <w:t xml:space="preserve">D. Due Process and Equal Protection</w:t>
      </w:r>
    </w:p>
    <w:p>
      <w:pPr>
        <w:spacing w:after="120" w:before="120" w:line="360"/>
        <w:jc w:val="left"/>
      </w:pPr>
      <w:r>
        <w:rPr>
          <w:rFonts w:ascii="Arial" w:cs="Arial" w:eastAsia="Arial" w:hAnsi="Arial"/>
          <w:color w:val="000000"/>
          <w:sz w:val="22"/>
          <w:szCs w:val="22"/>
        </w:rPr>
        <w:t xml:space="preserve">The tier classifications are based entirely on objective, measurable criteria: capacity in kilowatts/megawatts, acreage, and USDA-NRCS soil classifications. These are federal standards, not locally invented metrics. Under rational basis review (the applicable standard for economic regulation), the classifications are clearly tied to measurable impacts.</w:t>
      </w:r>
    </w:p>
    <w:p>
      <w:pPr>
        <w:spacing w:after="120" w:before="120" w:line="360"/>
        <w:jc w:val="left"/>
      </w:pPr>
      <w:r>
        <w:rPr>
          <w:rFonts w:ascii="Arial" w:cs="Arial" w:eastAsia="Arial" w:hAnsi="Arial"/>
          <w:color w:val="000000"/>
          <w:sz w:val="22"/>
          <w:szCs w:val="22"/>
        </w:rPr>
        <w:t xml:space="preserve">The graduated notification requirements (standard for Tier 1, county-wide for Tier 2, 25-mile for Tier 3) are proportional to impact scale and actually exceed due process minimums rather than falling short of them.</w:t>
      </w:r>
    </w:p>
    <w:p>
      <w:pPr>
        <w:spacing w:after="240" w:before="120" w:line="360"/>
        <w:jc w:val="left"/>
      </w:pPr>
      <w:r>
        <w:rPr>
          <w:rFonts w:ascii="Arial" w:cs="Arial" w:eastAsia="Arial" w:hAnsi="Arial"/>
          <w:color w:val="000000"/>
          <w:sz w:val="22"/>
          <w:szCs w:val="22"/>
        </w:rPr>
        <w:t xml:space="preserve">Assessment: STRONG. Science-based, federally grounded criteria. No arbitrary classifications.</w:t>
      </w:r>
    </w:p>
    <w:p>
      <w:pPr>
        <w:spacing w:after="160" w:before="360" w:line="360"/>
        <w:jc w:val="left"/>
        <w:outlineLvl w:val="0"/>
      </w:pPr>
      <w:r>
        <w:rPr>
          <w:rFonts w:ascii="Arial" w:cs="Arial" w:eastAsia="Arial" w:hAnsi="Arial"/>
          <w:b/>
          <w:bCs/>
          <w:color w:val="1F3864"/>
          <w:sz w:val="28"/>
          <w:szCs w:val="28"/>
        </w:rPr>
        <w:t xml:space="preserve">E. Notification Radius Defensibility</w:t>
      </w:r>
    </w:p>
    <w:p>
      <w:pPr>
        <w:spacing w:after="120" w:before="120" w:line="360"/>
        <w:jc w:val="left"/>
      </w:pPr>
      <w:r>
        <w:rPr>
          <w:rFonts w:ascii="Arial" w:cs="Arial" w:eastAsia="Arial" w:hAnsi="Arial"/>
          <w:color w:val="000000"/>
          <w:sz w:val="22"/>
          <w:szCs w:val="22"/>
        </w:rPr>
        <w:t xml:space="preserve">The 25-mile notification radius for Tier 3 projects is the provision most likely to draw procedural challenge. Key defensive points:</w:t>
      </w:r>
    </w:p>
    <w:p>
      <w:pPr>
        <w:spacing w:after="60" w:before="60" w:line="360"/>
        <w:jc w:val="left"/>
      </w:pPr>
      <w:r>
        <w:rPr>
          <w:rFonts w:ascii="Arial" w:cs="Arial" w:eastAsia="Arial" w:hAnsi="Arial"/>
          <w:color w:val="000000"/>
          <w:sz w:val="22"/>
          <w:szCs w:val="22"/>
        </w:rPr>
        <w:t xml:space="preserve">1. No Idaho statute limits notification radius. Idaho Code §67-6512 requires notice but doesn't cap distance.</w:t>
      </w:r>
    </w:p>
    <w:p>
      <w:pPr>
        <w:spacing w:after="60" w:before="60" w:line="360"/>
        <w:jc w:val="left"/>
      </w:pPr>
      <w:r>
        <w:rPr>
          <w:rFonts w:ascii="Arial" w:cs="Arial" w:eastAsia="Arial" w:hAnsi="Arial"/>
          <w:color w:val="000000"/>
          <w:sz w:val="22"/>
          <w:szCs w:val="22"/>
        </w:rPr>
        <w:t xml:space="preserve">2. Broader notification is more protective of due process rights, not less.</w:t>
      </w:r>
    </w:p>
    <w:p>
      <w:pPr>
        <w:spacing w:after="60" w:before="60" w:line="360"/>
        <w:jc w:val="left"/>
      </w:pPr>
      <w:r>
        <w:rPr>
          <w:rFonts w:ascii="Arial" w:cs="Arial" w:eastAsia="Arial" w:hAnsi="Arial"/>
          <w:color w:val="000000"/>
          <w:sz w:val="22"/>
          <w:szCs w:val="22"/>
        </w:rPr>
        <w:t xml:space="preserve">3. Notification doesn't grant standing or veto power — it ensures informed participation.</w:t>
      </w:r>
    </w:p>
    <w:p>
      <w:pPr>
        <w:spacing w:after="60" w:before="60" w:line="360"/>
        <w:jc w:val="left"/>
      </w:pPr>
      <w:r>
        <w:rPr>
          <w:rFonts w:ascii="Arial" w:cs="Arial" w:eastAsia="Arial" w:hAnsi="Arial"/>
          <w:color w:val="000000"/>
          <w:sz w:val="22"/>
          <w:szCs w:val="22"/>
        </w:rPr>
        <w:t xml:space="preserve">4. The 25-mile radius is based on documented impact zones for large-scale energy facilities (visual impact, property value effects, aquifer drawdown, traffic).</w:t>
      </w:r>
    </w:p>
    <w:p>
      <w:pPr>
        <w:spacing w:after="120" w:before="60" w:line="360"/>
        <w:jc w:val="left"/>
      </w:pPr>
      <w:r>
        <w:rPr>
          <w:rFonts w:ascii="Arial" w:cs="Arial" w:eastAsia="Arial" w:hAnsi="Arial"/>
          <w:color w:val="000000"/>
          <w:sz w:val="22"/>
          <w:szCs w:val="22"/>
        </w:rPr>
        <w:t xml:space="preserve">5. Several Oregon counties have adopted similar expanded notification zones.</w:t>
      </w:r>
    </w:p>
    <w:p>
      <w:pPr>
        <w:spacing w:after="240" w:before="120" w:line="360"/>
        <w:jc w:val="left"/>
      </w:pPr>
      <w:r>
        <w:rPr>
          <w:rFonts w:ascii="Arial" w:cs="Arial" w:eastAsia="Arial" w:hAnsi="Arial"/>
          <w:color w:val="000000"/>
          <w:sz w:val="22"/>
          <w:szCs w:val="22"/>
        </w:rPr>
        <w:t xml:space="preserve">Assessment: STRONG. Expanding notice beyond minimums strengthens due process protection.</w:t>
      </w:r>
    </w:p>
    <w:p>
      <w:pPr>
        <w:spacing w:after="160" w:before="360" w:line="360"/>
        <w:jc w:val="left"/>
        <w:outlineLvl w:val="0"/>
      </w:pPr>
      <w:r>
        <w:rPr>
          <w:rFonts w:ascii="Arial" w:cs="Arial" w:eastAsia="Arial" w:hAnsi="Arial"/>
          <w:b/>
          <w:bCs/>
          <w:color w:val="1F3864"/>
          <w:sz w:val="28"/>
          <w:szCs w:val="28"/>
        </w:rPr>
        <w:t xml:space="preserve">F. BESS Prohibition — Detailed Analysis</w:t>
      </w:r>
    </w:p>
    <w:p>
      <w:pPr>
        <w:spacing w:after="120" w:before="120" w:line="360"/>
        <w:jc w:val="left"/>
      </w:pPr>
      <w:r>
        <w:rPr>
          <w:rFonts w:ascii="Arial" w:cs="Arial" w:eastAsia="Arial" w:hAnsi="Arial"/>
          <w:color w:val="000000"/>
          <w:sz w:val="22"/>
          <w:szCs w:val="22"/>
        </w:rPr>
        <w:t xml:space="preserve">This is the provision with the highest relative legal risk in the package. The prohibition is categorical (all agricultural zones) rather than conditional.</w:t>
      </w:r>
    </w:p>
    <w:p>
      <w:pPr>
        <w:spacing w:after="120" w:before="240" w:line="360"/>
        <w:jc w:val="left"/>
        <w:outlineLvl w:val="1"/>
      </w:pPr>
      <w:r>
        <w:rPr>
          <w:rFonts w:ascii="Arial" w:cs="Arial" w:eastAsia="Arial" w:hAnsi="Arial"/>
          <w:b/>
          <w:bCs/>
          <w:color w:val="2E75B6"/>
          <w:sz w:val="24"/>
          <w:szCs w:val="24"/>
        </w:rPr>
        <w:t xml:space="preserve">Defensive Strengths:</w:t>
      </w:r>
    </w:p>
    <w:p>
      <w:pPr>
        <w:spacing w:after="60" w:before="60" w:line="360"/>
        <w:jc w:val="left"/>
      </w:pPr>
      <w:r>
        <w:rPr>
          <w:rFonts w:ascii="Arial" w:cs="Arial" w:eastAsia="Arial" w:hAnsi="Arial"/>
          <w:color w:val="000000"/>
          <w:sz w:val="22"/>
          <w:szCs w:val="22"/>
        </w:rPr>
        <w:t xml:space="preserve">• NFPA 855 and UL 9540A standards document thermal runaway risks</w:t>
      </w:r>
    </w:p>
    <w:p>
      <w:pPr>
        <w:spacing w:after="60" w:before="60" w:line="360"/>
        <w:jc w:val="left"/>
      </w:pPr>
      <w:r>
        <w:rPr>
          <w:rFonts w:ascii="Arial" w:cs="Arial" w:eastAsia="Arial" w:hAnsi="Arial"/>
          <w:color w:val="000000"/>
          <w:sz w:val="22"/>
          <w:szCs w:val="22"/>
        </w:rPr>
        <w:t xml:space="preserve">• Rural fire departments lack specialized BESS response capability</w:t>
      </w:r>
    </w:p>
    <w:p>
      <w:pPr>
        <w:spacing w:after="60" w:before="60" w:line="360"/>
        <w:jc w:val="left"/>
      </w:pPr>
      <w:r>
        <w:rPr>
          <w:rFonts w:ascii="Arial" w:cs="Arial" w:eastAsia="Arial" w:hAnsi="Arial"/>
          <w:color w:val="000000"/>
          <w:sz w:val="22"/>
          <w:szCs w:val="22"/>
        </w:rPr>
        <w:t xml:space="preserve">• 92.3% of surveyed residents expressed concern about BESS safety</w:t>
      </w:r>
    </w:p>
    <w:p>
      <w:pPr>
        <w:spacing w:after="60" w:before="60" w:line="360"/>
        <w:jc w:val="left"/>
      </w:pPr>
      <w:r>
        <w:rPr>
          <w:rFonts w:ascii="Arial" w:cs="Arial" w:eastAsia="Arial" w:hAnsi="Arial"/>
          <w:color w:val="000000"/>
          <w:sz w:val="22"/>
          <w:szCs w:val="22"/>
        </w:rPr>
        <w:t xml:space="preserve">• Proximity to crops, livestock, and irrigation infrastructure creates agricultural-specific risks</w:t>
      </w:r>
    </w:p>
    <w:p>
      <w:pPr>
        <w:spacing w:after="120" w:before="60" w:line="360"/>
        <w:jc w:val="left"/>
      </w:pPr>
      <w:r>
        <w:rPr>
          <w:rFonts w:ascii="Arial" w:cs="Arial" w:eastAsia="Arial" w:hAnsi="Arial"/>
          <w:color w:val="000000"/>
          <w:sz w:val="22"/>
          <w:szCs w:val="22"/>
        </w:rPr>
        <w:t xml:space="preserve">• No development pathway is foreclosed — BESS can be sited in industrial/commercial zones</w:t>
      </w:r>
    </w:p>
    <w:p>
      <w:pPr>
        <w:spacing w:after="120" w:before="240" w:line="360"/>
        <w:jc w:val="left"/>
        <w:outlineLvl w:val="1"/>
      </w:pPr>
      <w:r>
        <w:rPr>
          <w:rFonts w:ascii="Arial" w:cs="Arial" w:eastAsia="Arial" w:hAnsi="Arial"/>
          <w:b/>
          <w:bCs/>
          <w:color w:val="2E75B6"/>
          <w:sz w:val="24"/>
          <w:szCs w:val="24"/>
        </w:rPr>
        <w:t xml:space="preserve">Potential Vulnerabilities:</w:t>
      </w:r>
    </w:p>
    <w:p>
      <w:pPr>
        <w:spacing w:after="60" w:before="60" w:line="360"/>
        <w:jc w:val="left"/>
      </w:pPr>
      <w:r>
        <w:rPr>
          <w:rFonts w:ascii="Arial" w:cs="Arial" w:eastAsia="Arial" w:hAnsi="Arial"/>
          <w:color w:val="000000"/>
          <w:sz w:val="22"/>
          <w:szCs w:val="22"/>
        </w:rPr>
        <w:t xml:space="preserve">• A developer could argue small-scale BESS poses no agricultural risk</w:t>
      </w:r>
    </w:p>
    <w:p>
      <w:pPr>
        <w:spacing w:after="120" w:before="60" w:line="360"/>
        <w:jc w:val="left"/>
      </w:pPr>
      <w:r>
        <w:rPr>
          <w:rFonts w:ascii="Arial" w:cs="Arial" w:eastAsia="Arial" w:hAnsi="Arial"/>
          <w:color w:val="000000"/>
          <w:sz w:val="22"/>
          <w:szCs w:val="22"/>
        </w:rPr>
        <w:t xml:space="preserve">• Future BESS safety improvements could weaken the factual basis</w:t>
      </w:r>
    </w:p>
    <w:p>
      <w:pPr>
        <w:spacing w:after="120" w:before="240" w:line="360"/>
        <w:jc w:val="left"/>
        <w:outlineLvl w:val="1"/>
      </w:pPr>
      <w:r>
        <w:rPr>
          <w:rFonts w:ascii="Arial" w:cs="Arial" w:eastAsia="Arial" w:hAnsi="Arial"/>
          <w:b/>
          <w:bCs/>
          <w:color w:val="2E75B6"/>
          <w:sz w:val="24"/>
          <w:szCs w:val="24"/>
        </w:rPr>
        <w:t xml:space="preserve">Recommendation:</w:t>
      </w:r>
    </w:p>
    <w:p>
      <w:pPr>
        <w:spacing w:after="120" w:before="120" w:line="360"/>
        <w:jc w:val="left"/>
      </w:pPr>
      <w:r>
        <w:rPr>
          <w:rFonts w:ascii="Arial" w:cs="Arial" w:eastAsia="Arial" w:hAnsi="Arial"/>
          <w:color w:val="000000"/>
          <w:sz w:val="22"/>
          <w:szCs w:val="22"/>
        </w:rPr>
        <w:t xml:space="preserve">The prohibition is defensible as currently written. If the Board wishes to reduce legal exposure further, it could consider adding a conditional pathway for small-scale BESS (under 5 MWh) with enhanced safety conditions while maintaining the categorical prohibition for larger systems.</w:t>
      </w:r>
    </w:p>
    <w:p>
      <w:pPr>
        <w:spacing w:after="160" w:before="360" w:line="360"/>
        <w:jc w:val="left"/>
        <w:outlineLvl w:val="0"/>
      </w:pPr>
      <w:r>
        <w:rPr>
          <w:rFonts w:ascii="Arial" w:cs="Arial" w:eastAsia="Arial" w:hAnsi="Arial"/>
          <w:b/>
          <w:bCs/>
          <w:color w:val="1F3864"/>
          <w:sz w:val="28"/>
          <w:szCs w:val="28"/>
        </w:rPr>
        <w:t xml:space="preserve">G. Preemption Risk Assessment</w:t>
      </w:r>
    </w:p>
    <w:p>
      <w:pPr>
        <w:spacing w:after="120" w:before="120" w:line="360"/>
        <w:jc w:val="left"/>
      </w:pPr>
      <w:r>
        <w:rPr>
          <w:rFonts w:ascii="Arial" w:cs="Arial" w:eastAsia="Arial" w:hAnsi="Arial"/>
          <w:color w:val="000000"/>
          <w:sz w:val="22"/>
          <w:szCs w:val="22"/>
        </w:rPr>
        <w:t xml:space="preserve">Current landscape: Idaho HCR032 (2026) actively supports local authority over energy siting. No current Idaho statute preempts county energy zoning.</w:t>
      </w:r>
    </w:p>
    <w:p>
      <w:pPr>
        <w:spacing w:after="120" w:before="120" w:line="360"/>
        <w:jc w:val="left"/>
      </w:pPr>
      <w:r>
        <w:rPr>
          <w:rFonts w:ascii="Arial" w:cs="Arial" w:eastAsia="Arial" w:hAnsi="Arial"/>
          <w:color w:val="000000"/>
          <w:sz w:val="22"/>
          <w:szCs w:val="22"/>
        </w:rPr>
        <w:t xml:space="preserve">Future risk: Several states have passed renewable energy preemption laws. Idaho could follow this pattern, particularly under industry lobbying pressure.</w:t>
      </w:r>
    </w:p>
    <w:p>
      <w:pPr>
        <w:spacing w:after="120" w:before="120" w:line="360"/>
        <w:jc w:val="left"/>
      </w:pPr>
      <w:r>
        <w:rPr>
          <w:rFonts w:ascii="Arial" w:cs="Arial" w:eastAsia="Arial" w:hAnsi="Arial"/>
          <w:color w:val="000000"/>
          <w:sz w:val="22"/>
          <w:szCs w:val="22"/>
        </w:rPr>
        <w:t xml:space="preserve">Mitigation: Adopting the ordinance while the political window is open is the strongest defense. Established local regulations are significantly harder to preempt retroactively than prospective regulations. Courts generally apply a higher standard when state preemption would invalidate existing local ordinances.</w:t>
      </w:r>
    </w:p>
    <w:p>
      <w:pPr>
        <w:spacing w:after="240" w:before="120" w:line="360"/>
        <w:jc w:val="left"/>
      </w:pPr>
      <w:r>
        <w:rPr>
          <w:rFonts w:ascii="Arial" w:cs="Arial" w:eastAsia="Arial" w:hAnsi="Arial"/>
          <w:color w:val="000000"/>
          <w:sz w:val="22"/>
          <w:szCs w:val="22"/>
        </w:rPr>
        <w:t xml:space="preserve">Assessment: LOW (current), MODERATE (future). Adopt now.</w:t>
      </w:r>
    </w:p>
    <w:p>
      <w:pPr>
        <w:spacing w:after="160" w:before="360" w:line="360"/>
        <w:jc w:val="left"/>
        <w:outlineLvl w:val="0"/>
      </w:pPr>
      <w:r>
        <w:rPr>
          <w:rFonts w:ascii="Arial" w:cs="Arial" w:eastAsia="Arial" w:hAnsi="Arial"/>
          <w:b/>
          <w:bCs/>
          <w:color w:val="1F3864"/>
          <w:sz w:val="28"/>
          <w:szCs w:val="28"/>
        </w:rPr>
        <w:t xml:space="preserve">H. Comprehensive Defensibility Matrix</w:t>
      </w:r>
    </w:p>
    <w:tbl>
      <w:tblPr>
        <w:tblW w:type="pct" w:w="100%"/>
        <w:tblBorders>
          <w:top w:val="single" w:color="999999" w:sz="1"/>
          <w:left w:val="single" w:color="999999" w:sz="1"/>
          <w:bottom w:val="single" w:color="999999" w:sz="1"/>
          <w:right w:val="single" w:color="999999" w:sz="1"/>
          <w:insideH w:val="single" w:color="999999" w:sz="1"/>
          <w:insideV w:val="single" w:color="999999" w:sz="1"/>
        </w:tblBorders>
      </w:tblPr>
      <w:tblGrid>
        <w:gridCol w:w="100"/>
        <w:gridCol w:w="100"/>
        <w:gridCol w:w="100"/>
        <w:gridCol w:w="100"/>
        <w:gridCol w:w="100"/>
      </w:tblGrid>
      <w:tr>
        <w:tc>
          <w:tcPr>
            <w:tcBorders>
              <w:top w:val="single" w:color="999999" w:sz="1"/>
              <w:left w:val="single" w:color="999999" w:sz="1"/>
              <w:bottom w:val="single" w:color="999999" w:sz="1"/>
              <w:right w:val="single" w:color="999999" w:sz="1"/>
            </w:tcBorders>
            <w:shd w:fill="EEEEEE" w:val="clear"/>
            <w:tcMar>
              <w:top w:type="dxa" w:w="80"/>
              <w:left w:type="dxa" w:w="120"/>
              <w:bottom w:type="dxa" w:w="80"/>
              <w:right w:type="dxa" w:w="120"/>
            </w:tcMar>
            <w:vAlign w:val="center"/>
          </w:tcPr>
          <w:p>
            <w:pPr>
              <w:spacing w:line="360" w:lineRule="auto"/>
              <w:jc w:val="left"/>
            </w:pPr>
            <w:r>
              <w:rPr>
                <w:rFonts w:ascii="Arial" w:cs="Arial" w:eastAsia="Arial" w:hAnsi="Arial"/>
                <w:b/>
                <w:bCs/>
                <w:color w:val="000000"/>
                <w:sz w:val="22"/>
                <w:szCs w:val="22"/>
              </w:rPr>
              <w:t xml:space="preserve">Provision</w:t>
            </w:r>
          </w:p>
        </w:tc>
        <w:tc>
          <w:tcPr>
            <w:tcBorders>
              <w:top w:val="single" w:color="999999" w:sz="1"/>
              <w:left w:val="single" w:color="999999" w:sz="1"/>
              <w:bottom w:val="single" w:color="999999" w:sz="1"/>
              <w:right w:val="single" w:color="999999" w:sz="1"/>
            </w:tcBorders>
            <w:shd w:fill="EEEEEE" w:val="clear"/>
            <w:tcMar>
              <w:top w:type="dxa" w:w="80"/>
              <w:left w:type="dxa" w:w="120"/>
              <w:bottom w:type="dxa" w:w="80"/>
              <w:right w:type="dxa" w:w="120"/>
            </w:tcMar>
            <w:vAlign w:val="center"/>
          </w:tcPr>
          <w:p>
            <w:pPr>
              <w:spacing w:line="360" w:lineRule="auto"/>
              <w:jc w:val="left"/>
            </w:pPr>
            <w:r>
              <w:rPr>
                <w:rFonts w:ascii="Arial" w:cs="Arial" w:eastAsia="Arial" w:hAnsi="Arial"/>
                <w:b/>
                <w:bCs/>
                <w:color w:val="000000"/>
                <w:sz w:val="22"/>
                <w:szCs w:val="22"/>
              </w:rPr>
              <w:t xml:space="preserve">Legal Risk</w:t>
            </w:r>
          </w:p>
        </w:tc>
        <w:tc>
          <w:tcPr>
            <w:tcBorders>
              <w:top w:val="single" w:color="999999" w:sz="1"/>
              <w:left w:val="single" w:color="999999" w:sz="1"/>
              <w:bottom w:val="single" w:color="999999" w:sz="1"/>
              <w:right w:val="single" w:color="999999" w:sz="1"/>
            </w:tcBorders>
            <w:shd w:fill="EEEEEE" w:val="clear"/>
            <w:tcMar>
              <w:top w:type="dxa" w:w="80"/>
              <w:left w:type="dxa" w:w="120"/>
              <w:bottom w:type="dxa" w:w="80"/>
              <w:right w:type="dxa" w:w="120"/>
            </w:tcMar>
            <w:vAlign w:val="center"/>
          </w:tcPr>
          <w:p>
            <w:pPr>
              <w:spacing w:line="360" w:lineRule="auto"/>
              <w:jc w:val="left"/>
            </w:pPr>
            <w:r>
              <w:rPr>
                <w:rFonts w:ascii="Arial" w:cs="Arial" w:eastAsia="Arial" w:hAnsi="Arial"/>
                <w:b/>
                <w:bCs/>
                <w:color w:val="000000"/>
                <w:sz w:val="22"/>
                <w:szCs w:val="22"/>
              </w:rPr>
              <w:t xml:space="preserve">Defensive Strength</w:t>
            </w:r>
          </w:p>
        </w:tc>
        <w:tc>
          <w:tcPr>
            <w:tcBorders>
              <w:top w:val="single" w:color="999999" w:sz="1"/>
              <w:left w:val="single" w:color="999999" w:sz="1"/>
              <w:bottom w:val="single" w:color="999999" w:sz="1"/>
              <w:right w:val="single" w:color="999999" w:sz="1"/>
            </w:tcBorders>
            <w:shd w:fill="EEEEEE" w:val="clear"/>
            <w:tcMar>
              <w:top w:type="dxa" w:w="80"/>
              <w:left w:type="dxa" w:w="120"/>
              <w:bottom w:type="dxa" w:w="80"/>
              <w:right w:type="dxa" w:w="120"/>
            </w:tcMar>
            <w:vAlign w:val="center"/>
          </w:tcPr>
          <w:p>
            <w:pPr>
              <w:spacing w:line="360" w:lineRule="auto"/>
              <w:jc w:val="left"/>
            </w:pPr>
            <w:r>
              <w:rPr>
                <w:rFonts w:ascii="Arial" w:cs="Arial" w:eastAsia="Arial" w:hAnsi="Arial"/>
                <w:b/>
                <w:bCs/>
                <w:color w:val="000000"/>
                <w:sz w:val="22"/>
                <w:szCs w:val="22"/>
              </w:rPr>
              <w:t xml:space="preserve">Constitutional Basis</w:t>
            </w:r>
          </w:p>
        </w:tc>
        <w:tc>
          <w:tcPr>
            <w:tcBorders>
              <w:top w:val="single" w:color="999999" w:sz="1"/>
              <w:left w:val="single" w:color="999999" w:sz="1"/>
              <w:bottom w:val="single" w:color="999999" w:sz="1"/>
              <w:right w:val="single" w:color="999999" w:sz="1"/>
            </w:tcBorders>
            <w:shd w:fill="EEEEEE" w:val="clear"/>
            <w:tcMar>
              <w:top w:type="dxa" w:w="80"/>
              <w:left w:type="dxa" w:w="120"/>
              <w:bottom w:type="dxa" w:w="80"/>
              <w:right w:type="dxa" w:w="120"/>
            </w:tcMar>
            <w:vAlign w:val="center"/>
          </w:tcPr>
          <w:p>
            <w:pPr>
              <w:spacing w:line="360" w:lineRule="auto"/>
              <w:jc w:val="left"/>
            </w:pPr>
            <w:r>
              <w:rPr>
                <w:rFonts w:ascii="Arial" w:cs="Arial" w:eastAsia="Arial" w:hAnsi="Arial"/>
                <w:b/>
                <w:bCs/>
                <w:color w:val="000000"/>
                <w:sz w:val="22"/>
                <w:szCs w:val="22"/>
              </w:rPr>
              <w:t xml:space="preserve">Recommendation</w:t>
            </w:r>
          </w:p>
        </w:tc>
      </w:tr>
      <w:tr>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Three-tier classification</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Low</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Very Strong</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Police power, rational basis</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Adopt as written</w:t>
            </w:r>
          </w:p>
        </w:tc>
      </w:tr>
      <w:tr>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Class I/II soil protection</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Low</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Very Strong</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Ag preservation precedent, federal standards</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Adopt as written</w:t>
            </w:r>
          </w:p>
        </w:tc>
      </w:tr>
      <w:tr>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Community notification (county-wide/25-mi)</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Low</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Strong</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Due process enhancement</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Adopt as written</w:t>
            </w:r>
          </w:p>
        </w:tc>
      </w:tr>
      <w:tr>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Decommissioning bonds (125%)</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Low-Moderate</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Strong</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Reclamation bond precedent</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Adopt as written</w:t>
            </w:r>
          </w:p>
        </w:tc>
      </w:tr>
      <w:tr>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BESS agricultural zone prohibition</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Moderate</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Moderate-Strong</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Safety-based zoning, NFPA standards</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Adopt; consider small-scale pathway</w:t>
            </w:r>
          </w:p>
        </w:tc>
      </w:tr>
      <w:tr>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Data center definition &amp; Tier 3 classification</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Low</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Strong</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Objective measurable criteria</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Adopt as written</w:t>
            </w:r>
          </w:p>
        </w:tc>
      </w:tr>
      <w:tr>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Environmental Impact Assessment (Tier 3)</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Low</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Very Strong</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Within CUP conditioning authority</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Adopt as written</w:t>
            </w:r>
          </w:p>
        </w:tc>
      </w:tr>
      <w:tr>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CSPM policy framework (Ch 10)</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Low</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Strong</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Within comprehensive planning authority</w:t>
            </w:r>
          </w:p>
        </w:tc>
        <w:tc>
          <w:tcPr>
            <w:tcBorders>
              <w:top w:val="single" w:color="999999" w:sz="1"/>
              <w:left w:val="single" w:color="999999" w:sz="1"/>
              <w:bottom w:val="single" w:color="999999" w:sz="1"/>
              <w:right w:val="single" w:color="999999" w:sz="1"/>
            </w:tcBorders>
            <w:tcMar>
              <w:top w:type="dxa" w:w="80"/>
              <w:left w:type="dxa" w:w="120"/>
              <w:bottom w:type="dxa" w:w="80"/>
              <w:right w:type="dxa" w:w="120"/>
            </w:tcMar>
            <w:vAlign w:val="center"/>
          </w:tcPr>
          <w:p>
            <w:pPr>
              <w:spacing w:line="360" w:lineRule="auto"/>
              <w:jc w:val="left"/>
            </w:pPr>
            <w:r>
              <w:rPr>
                <w:rFonts w:ascii="Arial" w:cs="Arial" w:eastAsia="Arial" w:hAnsi="Arial"/>
                <w:b w:val="false"/>
                <w:bCs w:val="false"/>
                <w:color w:val="000000"/>
                <w:sz w:val="22"/>
                <w:szCs w:val="22"/>
              </w:rPr>
              <w:t xml:space="preserve">Adopt as written</w:t>
            </w:r>
          </w:p>
        </w:tc>
      </w:tr>
    </w:tbl>
    <w:p>
      <w:pPr>
        <w:spacing w:after="0" w:before="120" w:line="360"/>
        <w:jc w:val="left"/>
      </w:pPr>
      <w:r>
        <w:rPr>
          <w:rFonts w:ascii="Arial" w:cs="Arial" w:eastAsia="Arial" w:hAnsi="Arial"/>
          <w:color w:val="000000"/>
          <w:sz w:val="22"/>
          <w:szCs w:val="22"/>
        </w:rPr>
        <w:t xml:space="preserve"/>
      </w:r>
    </w:p>
    <w:p>
      <w:pPr>
        <w:spacing w:after="160" w:before="360" w:line="360"/>
        <w:jc w:val="left"/>
        <w:outlineLvl w:val="0"/>
      </w:pPr>
      <w:r>
        <w:rPr>
          <w:rFonts w:ascii="Arial" w:cs="Arial" w:eastAsia="Arial" w:hAnsi="Arial"/>
          <w:b/>
          <w:bCs/>
          <w:color w:val="1F3864"/>
          <w:sz w:val="28"/>
          <w:szCs w:val="28"/>
        </w:rPr>
        <w:t xml:space="preserve">I. Conclusion</w:t>
      </w:r>
    </w:p>
    <w:p>
      <w:pPr>
        <w:spacing w:after="120" w:before="120" w:line="360"/>
        <w:jc w:val="left"/>
      </w:pPr>
      <w:r>
        <w:rPr>
          <w:rFonts w:ascii="Arial" w:cs="Arial" w:eastAsia="Arial" w:hAnsi="Arial"/>
          <w:color w:val="000000"/>
          <w:sz w:val="22"/>
          <w:szCs w:val="22"/>
        </w:rPr>
        <w:t xml:space="preserve">The Jerome County Energy Ordinance Reform Package has been designed from the ground up with legal defensibility as a core requirement. Every provision is grounded in expressly granted statutory authority, objective federal standards, documented community values, and established constitutional precedent. The package creates development pathways rather than blanket prohibitions, uses science-based criteria rather than arbitrary classifications, and enhances due process protections rather than restricting them.</w:t>
      </w:r>
    </w:p>
    <w:p>
      <w:pPr>
        <w:spacing w:after="120" w:before="120" w:line="360"/>
        <w:jc w:val="left"/>
      </w:pPr>
      <w:r>
        <w:rPr>
          <w:rFonts w:ascii="Arial" w:cs="Arial" w:eastAsia="Arial" w:hAnsi="Arial"/>
          <w:color w:val="000000"/>
          <w:sz w:val="22"/>
          <w:szCs w:val="22"/>
        </w:rPr>
        <w:t xml:space="preserve">The single provision carrying the highest relative risk — the BESS agricultural zone prohibition — is supported by documented safety standards and overwhelming community concern, and could be further strengthened with a narrow conditional pathway if the Board determines that additional legal margin is warranted.</w:t>
      </w:r>
    </w:p>
    <w:p>
      <w:pPr>
        <w:spacing w:after="360" w:before="120" w:line="360"/>
        <w:jc w:val="left"/>
      </w:pPr>
      <w:r>
        <w:rPr>
          <w:rFonts w:ascii="Arial" w:cs="Arial" w:eastAsia="Arial" w:hAnsi="Arial"/>
          <w:color w:val="000000"/>
          <w:sz w:val="22"/>
          <w:szCs w:val="22"/>
        </w:rPr>
        <w:t xml:space="preserve">This analysis should be reviewed by Jerome County's legal counsel before adoption. It is provided as an informational supplement to assist in that review, not as a substitute for legal advice.</w:t>
      </w:r>
    </w:p>
    <w:p>
      <w:pPr>
        <w:pBdr>
          <w:top w:val="single" w:color="2E75B6" w:sz="4"/>
        </w:pBdr>
        <w:spacing w:after="0" w:before="240"/>
        <w:jc w:val="center"/>
      </w:pPr>
      <w:r>
        <w:t xml:space="preserve"/>
      </w:r>
    </w:p>
    <w:p>
      <w:pPr>
        <w:spacing w:after="60" w:before="120" w:line="360"/>
        <w:jc w:val="left"/>
      </w:pPr>
      <w:r>
        <w:rPr>
          <w:rFonts w:ascii="Arial" w:cs="Arial" w:eastAsia="Arial" w:hAnsi="Arial"/>
          <w:color w:val="000000"/>
          <w:sz w:val="22"/>
          <w:szCs w:val="22"/>
        </w:rPr>
        <w:t xml:space="preserve">Jerome County Energy Ordinance Reform Package — Document 15 of 17</w:t>
      </w:r>
    </w:p>
    <w:p>
      <w:pPr>
        <w:spacing w:after="0" w:before="0" w:line="360"/>
        <w:jc w:val="left"/>
      </w:pPr>
      <w:r>
        <w:rPr>
          <w:rFonts w:ascii="Arial" w:cs="Arial" w:eastAsia="Arial" w:hAnsi="Arial"/>
          <w:color w:val="000000"/>
          <w:sz w:val="22"/>
          <w:szCs w:val="22"/>
        </w:rPr>
        <w:t xml:space="preserve">Jeff Pierson | Confidential Solutions LLC | Jerome, Idaho</w:t>
      </w:r>
    </w:p>
    <w:p>
      <w:pPr>
        <w:pageBreakBefore/>
        <w:spacing w:after="120"/>
        <w:jc w:val="center"/>
      </w:pPr>
      <w:r>
        <w:rPr>
          <w:rFonts w:ascii="Arial" w:cs="Arial" w:eastAsia="Arial" w:hAnsi="Arial"/>
          <w:b/>
          <w:bCs/>
          <w:color w:val="1F3864"/>
          <w:sz w:val="24"/>
          <w:szCs w:val="24"/>
        </w:rPr>
        <w:t xml:space="preserve">DOCUMENT REVISION HISTORY</w:t>
      </w:r>
    </w:p>
    <w:p>
      <w:pPr>
        <w:spacing w:after="80"/>
        <w:jc w:val="center"/>
      </w:pPr>
      <w:r>
        <w:rPr>
          <w:rFonts w:ascii="Arial" w:cs="Arial" w:eastAsia="Arial" w:hAnsi="Arial"/>
          <w:i/>
          <w:iCs/>
          <w:color w:val="2E75B6"/>
          <w:sz w:val="20"/>
          <w:szCs w:val="20"/>
        </w:rPr>
        <w:t xml:space="preserve">Legal Framework and Defensibility Analysis</w:t>
      </w:r>
    </w:p>
    <w:p>
      <w:pPr>
        <w:pBdr>
          <w:bottom w:val="single" w:color="2E75B6" w:sz="4" w:space="4"/>
        </w:pBd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000"/>
        <w:gridCol w:w="5160"/>
        <w:gridCol w:w="2000"/>
      </w:tblGrid>
      <w:tr>
        <w:tc>
          <w:tcPr>
            <w:tcW w:type="dxa" w:w="12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Version</w:t>
            </w:r>
          </w:p>
        </w:tc>
        <w:tc>
          <w:tcPr>
            <w:tcW w:type="dxa" w:w="1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Date</w:t>
            </w:r>
          </w:p>
        </w:tc>
        <w:tc>
          <w:tcPr>
            <w:tcW w:type="dxa" w:w="516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Changes / Updates</w:t>
            </w:r>
          </w:p>
        </w:tc>
        <w:tc>
          <w:tcPr>
            <w:tcW w:type="dxa" w:w="2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Reviewed By</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v5</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Initial creation as Document 15. Constitutional, statutory, and regulatory defensibility analysis for all major provisions.</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v6</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IdahoEnergy logo to footer; integrated into 17-document package</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bl>
    <w:p>
      <w:pPr>
        <w:spacing w:after="120" w:before="200"/>
      </w:pPr>
      <w:r>
        <w:rPr>
          <w:rFonts w:ascii="Arial" w:cs="Arial" w:eastAsia="Arial" w:hAnsi="Arial"/>
          <w:b/>
          <w:bCs/>
          <w:color w:val="1F3864"/>
          <w:sz w:val="20"/>
          <w:szCs w:val="20"/>
        </w:rPr>
        <w:t xml:space="preserve">REVIEW NOTES</w:t>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pPr>
        <w:spacing w:line="36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2026-03-23T07:48:05.749Z</dcterms:created>
  <dcterms:modified xsi:type="dcterms:W3CDTF">2026-03-23T07:48:05.751Z</dcterms:modified>
</cp:coreProperties>
</file>

<file path=docProps/custom.xml><?xml version="1.0" encoding="utf-8"?>
<Properties xmlns="http://schemas.openxmlformats.org/officeDocument/2006/custom-properties" xmlns:vt="http://schemas.openxmlformats.org/officeDocument/2006/docPropsVTypes"/>
</file>