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00"/>
        <w:jc w:val="center"/>
      </w:pPr>
      <w:r>
        <w:rPr>
          <w:rFonts w:ascii="Arial" w:cs="Arial" w:eastAsia="Arial" w:hAnsi="Arial"/>
          <w:b/>
          <w:bCs/>
          <w:i w:val="false"/>
          <w:iCs w:val="false"/>
          <w:color w:val="1F3864"/>
          <w:sz w:val="36"/>
          <w:szCs w:val="36"/>
        </w:rPr>
        <w:t xml:space="preserve">JEROME COUNTY ENERGY ORDINANCE REFORM</w:t>
      </w:r>
    </w:p>
    <w:p>
      <w:pPr>
        <w:spacing w:after="80" w:before="0" w:line="300"/>
        <w:jc w:val="center"/>
      </w:pPr>
      <w:r>
        <w:rPr>
          <w:rFonts w:ascii="Arial" w:cs="Arial" w:eastAsia="Arial" w:hAnsi="Arial"/>
          <w:b/>
          <w:bCs/>
          <w:i w:val="false"/>
          <w:iCs w:val="false"/>
          <w:color w:val="2E75B6"/>
          <w:sz w:val="28"/>
          <w:szCs w:val="28"/>
        </w:rPr>
        <w:t xml:space="preserve">Summary of Sources by Category</w:t>
      </w:r>
    </w:p>
    <w:p>
      <w:pPr>
        <w:pBdr>
          <w:bottom w:val="single" w:color="2E75B6" w:sz="8" w:space="1"/>
        </w:pBdr>
        <w:spacing w:after="80"/>
        <w:jc w:val="center"/>
      </w:pPr>
    </w:p>
    <w:p>
      <w:pPr>
        <w:spacing w:after="300" w:before="0" w:line="300"/>
        <w:jc w:val="center"/>
      </w:pPr>
      <w:r>
        <w:rPr>
          <w:rFonts w:ascii="Arial" w:cs="Arial" w:eastAsia="Arial" w:hAnsi="Arial"/>
          <w:b w:val="false"/>
          <w:bCs w:val="false"/>
          <w:i/>
          <w:iCs/>
          <w:color w:val="666666"/>
          <w:sz w:val="20"/>
          <w:szCs w:val="20"/>
        </w:rPr>
        <w:t xml:space="preserve">Jeff Pierson  |  Confidential Solutions LLC  |  713 East Ave C, Jerome, Idaho  |  March 2026</w:t>
      </w:r>
    </w:p>
    <w:p>
      <w:pPr>
        <w:spacing w:after="250" w:before="0" w:line="300"/>
      </w:pPr>
      <w:r>
        <w:rPr>
          <w:rFonts w:ascii="Arial" w:cs="Arial" w:eastAsia="Arial" w:hAnsi="Arial"/>
          <w:b w:val="false"/>
          <w:bCs w:val="false"/>
          <w:i w:val="false"/>
          <w:iCs w:val="false"/>
          <w:sz w:val="22"/>
          <w:szCs w:val="22"/>
        </w:rPr>
        <w:t xml:space="preserve">This document catalogs every source cited across the document package, organized by category. Each entry identifies the source, what it establishes, and the documents in which it is cited.</w:t>
      </w:r>
    </w:p>
    <w:p>
      <w:pPr>
        <w:spacing w:after="200" w:before="300" w:line="300"/>
      </w:pPr>
      <w:r>
        <w:rPr>
          <w:rFonts w:ascii="Arial" w:cs="Arial" w:eastAsia="Arial" w:hAnsi="Arial"/>
          <w:b/>
          <w:bCs/>
          <w:i w:val="false"/>
          <w:iCs w:val="false"/>
          <w:color w:val="1F3864"/>
          <w:sz w:val="28"/>
          <w:szCs w:val="28"/>
        </w:rPr>
        <w:t xml:space="preserve">1. Federal Agencies and Government Programs</w:t>
      </w:r>
    </w:p>
    <w:p>
      <w:pPr>
        <w:spacing w:after="140"/>
        <w:ind w:left="360"/>
      </w:pPr>
      <w:r>
        <w:rPr>
          <w:rFonts w:ascii="Arial" w:cs="Arial" w:eastAsia="Arial" w:hAnsi="Arial"/>
          <w:b/>
          <w:bCs/>
          <w:sz w:val="22"/>
          <w:szCs w:val="22"/>
        </w:rPr>
        <w:t xml:space="preserve">USDA NRCS Conservation Guidance (December 2024)</w:t>
      </w:r>
      <w:r>
        <w:rPr>
          <w:rFonts w:ascii="Arial" w:cs="Arial" w:eastAsia="Arial" w:hAnsi="Arial"/>
          <w:sz w:val="22"/>
          <w:szCs w:val="22"/>
        </w:rPr>
        <w:t xml:space="preserve"> — </w:t>
      </w:r>
      <w:r>
        <w:rPr>
          <w:rFonts w:ascii="Arial" w:cs="Arial" w:eastAsia="Arial" w:hAnsi="Arial"/>
          <w:i w:val="false"/>
          <w:iCs w:val="false"/>
          <w:sz w:val="22"/>
          <w:szCs w:val="22"/>
        </w:rPr>
        <w:t xml:space="preserve">Documents six categories of soil conservation damage from solar construction: compaction, erosion, organic matter loss, drainage alteration, contamination, and biological disruption. Establishes that large-scale solar construction causes measurable, long-term harm to agricultural soils. Cited in: Response to P&amp;Z, Chapter 10, Chapter 11, Guide.</w:t>
      </w:r>
    </w:p>
    <w:p>
      <w:pPr>
        <w:spacing w:after="140"/>
        <w:ind w:left="360"/>
      </w:pPr>
      <w:r>
        <w:rPr>
          <w:rFonts w:ascii="Arial" w:cs="Arial" w:eastAsia="Arial" w:hAnsi="Arial"/>
          <w:b/>
          <w:bCs/>
          <w:sz w:val="22"/>
          <w:szCs w:val="22"/>
        </w:rPr>
        <w:t xml:space="preserve">USDA Census of Agriculture — Jerome County Profile</w:t>
      </w:r>
      <w:r>
        <w:rPr>
          <w:rFonts w:ascii="Arial" w:cs="Arial" w:eastAsia="Arial" w:hAnsi="Arial"/>
          <w:sz w:val="22"/>
          <w:szCs w:val="22"/>
        </w:rPr>
        <w:t xml:space="preserve"> — </w:t>
      </w:r>
      <w:r>
        <w:rPr>
          <w:rFonts w:ascii="Arial" w:cs="Arial" w:eastAsia="Arial" w:hAnsi="Arial"/>
          <w:i w:val="false"/>
          <w:iCs w:val="false"/>
          <w:sz w:val="22"/>
          <w:szCs w:val="22"/>
        </w:rPr>
        <w:t xml:space="preserve">Jerome County: $639.6 million market value of agricultural products (4th in Idaho), 157,000+ irrigated acres, $274 million in annual milk sales (#16 nationally), 59th most productive agricultural county in the nation. Establishes the economic significance of agriculture requiring protection. Cited in: Response to P&amp;Z, Chapter 10, Guide.</w:t>
      </w:r>
    </w:p>
    <w:p>
      <w:pPr>
        <w:spacing w:after="140"/>
        <w:ind w:left="360"/>
      </w:pPr>
      <w:r>
        <w:rPr>
          <w:rFonts w:ascii="Arial" w:cs="Arial" w:eastAsia="Arial" w:hAnsi="Arial"/>
          <w:b/>
          <w:bCs/>
          <w:sz w:val="22"/>
          <w:szCs w:val="22"/>
        </w:rPr>
        <w:t xml:space="preserve">Farmland Protection Policy Act (FPPA), 7 U.S.C. §4201</w:t>
      </w:r>
      <w:r>
        <w:rPr>
          <w:rFonts w:ascii="Arial" w:cs="Arial" w:eastAsia="Arial" w:hAnsi="Arial"/>
          <w:sz w:val="22"/>
          <w:szCs w:val="22"/>
        </w:rPr>
        <w:t xml:space="preserve"> — </w:t>
      </w:r>
      <w:r>
        <w:rPr>
          <w:rFonts w:ascii="Arial" w:cs="Arial" w:eastAsia="Arial" w:hAnsi="Arial"/>
          <w:i w:val="false"/>
          <w:iCs w:val="false"/>
          <w:sz w:val="22"/>
          <w:szCs w:val="22"/>
        </w:rPr>
        <w:t xml:space="preserve">Federal law establishing policy of minimizing irreversible conversion of farmland to nonagricultural uses. Uses the term “irreversible conversion” to describe permanent loss of agricultural productivity. Cited in: Response to P&amp;Z, Glossary.</w:t>
      </w:r>
    </w:p>
    <w:p>
      <w:pPr>
        <w:spacing w:after="140"/>
        <w:ind w:left="360"/>
      </w:pPr>
      <w:r>
        <w:rPr>
          <w:rFonts w:ascii="Arial" w:cs="Arial" w:eastAsia="Arial" w:hAnsi="Arial"/>
          <w:b/>
          <w:bCs/>
          <w:sz w:val="22"/>
          <w:szCs w:val="22"/>
        </w:rPr>
        <w:t xml:space="preserve">EPA RE-Powering America’s Land Initiative</w:t>
      </w:r>
      <w:r>
        <w:rPr>
          <w:rFonts w:ascii="Arial" w:cs="Arial" w:eastAsia="Arial" w:hAnsi="Arial"/>
          <w:sz w:val="22"/>
          <w:szCs w:val="22"/>
        </w:rPr>
        <w:t xml:space="preserve"> — </w:t>
      </w:r>
      <w:r>
        <w:rPr>
          <w:rFonts w:ascii="Arial" w:cs="Arial" w:eastAsia="Arial" w:hAnsi="Arial"/>
          <w:i w:val="false"/>
          <w:iCs w:val="false"/>
          <w:sz w:val="22"/>
          <w:szCs w:val="22"/>
        </w:rPr>
        <w:t xml:space="preserve">190,000+ acres of pre-screened contaminated and disturbed land suitable for renewable energy development. 624+ active brightfield projects nationwide. Establishes that already-disturbed land is available and appropriate for energy siting, making conversion of agricultural land unnecessary. Cited in: Response to P&amp;Z, Guide.</w:t>
      </w:r>
    </w:p>
    <w:p>
      <w:pPr>
        <w:spacing w:after="140"/>
        <w:ind w:left="360"/>
      </w:pPr>
      <w:r>
        <w:rPr>
          <w:rFonts w:ascii="Arial" w:cs="Arial" w:eastAsia="Arial" w:hAnsi="Arial"/>
          <w:b/>
          <w:bCs/>
          <w:sz w:val="22"/>
          <w:szCs w:val="22"/>
        </w:rPr>
        <w:t xml:space="preserve">Congressional Research Service, "Data Centers: Background and Key Policy Issues" (2024)</w:t>
      </w:r>
      <w:r>
        <w:rPr>
          <w:rFonts w:ascii="Arial" w:cs="Arial" w:eastAsia="Arial" w:hAnsi="Arial"/>
          <w:sz w:val="22"/>
          <w:szCs w:val="22"/>
        </w:rPr>
        <w:t xml:space="preserve"> — </w:t>
      </w:r>
      <w:r>
        <w:rPr>
          <w:rFonts w:ascii="Arial" w:cs="Arial" w:eastAsia="Arial" w:hAnsi="Arial"/>
          <w:i w:val="false"/>
          <w:iCs w:val="false"/>
          <w:sz w:val="22"/>
          <w:szCs w:val="22"/>
        </w:rPr>
        <w:t xml:space="preserve">Documents that data centers alter local tax bases, bring noise pollution, high electricity usage, and water consumption, posing environmental and quality-of-life concerns. Cited in: Position Paper.</w:t>
      </w:r>
    </w:p>
    <w:p>
      <w:pPr>
        <w:spacing w:after="140"/>
        <w:ind w:left="360"/>
      </w:pPr>
      <w:r>
        <w:rPr>
          <w:rFonts w:ascii="Arial" w:cs="Arial" w:eastAsia="Arial" w:hAnsi="Arial"/>
          <w:b/>
          <w:bCs/>
          <w:sz w:val="22"/>
          <w:szCs w:val="22"/>
        </w:rPr>
        <w:t xml:space="preserve">U.S. EIA, Monthly Energy Review (2025)</w:t>
      </w:r>
      <w:r>
        <w:rPr>
          <w:rFonts w:ascii="Arial" w:cs="Arial" w:eastAsia="Arial" w:hAnsi="Arial"/>
          <w:sz w:val="22"/>
          <w:szCs w:val="22"/>
        </w:rPr>
        <w:t xml:space="preserve"> — </w:t>
      </w:r>
      <w:r>
        <w:rPr>
          <w:rFonts w:ascii="Arial" w:cs="Arial" w:eastAsia="Arial" w:hAnsi="Arial"/>
          <w:i w:val="false"/>
          <w:iCs w:val="false"/>
          <w:sz w:val="22"/>
          <w:szCs w:val="22"/>
        </w:rPr>
        <w:t xml:space="preserve">Average electricity prices increased from ~13 cents/kWh (pre-2019) to 19 cents/kWh by end of 2025 — approximately 27% increase. Establishes baseline for utility rate impact analysis. Cited in: Position Paper.</w:t>
      </w:r>
    </w:p>
    <w:p>
      <w:pPr>
        <w:spacing w:after="140"/>
        <w:ind w:left="360"/>
      </w:pPr>
      <w:r>
        <w:rPr>
          <w:rFonts w:ascii="Arial" w:cs="Arial" w:eastAsia="Arial" w:hAnsi="Arial"/>
          <w:b/>
          <w:bCs/>
          <w:sz w:val="22"/>
          <w:szCs w:val="22"/>
        </w:rPr>
        <w:t xml:space="preserve">IRA (Inflation Reduction Act)</w:t>
      </w:r>
      <w:r>
        <w:rPr>
          <w:rFonts w:ascii="Arial" w:cs="Arial" w:eastAsia="Arial" w:hAnsi="Arial"/>
          <w:sz w:val="22"/>
          <w:szCs w:val="22"/>
        </w:rPr>
        <w:t xml:space="preserve"> — </w:t>
      </w:r>
      <w:r>
        <w:rPr>
          <w:rFonts w:ascii="Arial" w:cs="Arial" w:eastAsia="Arial" w:hAnsi="Arial"/>
          <w:i w:val="false"/>
          <w:iCs w:val="false"/>
          <w:sz w:val="22"/>
          <w:szCs w:val="22"/>
        </w:rPr>
        <w:t xml:space="preserve">10% tax credit bonus for energy community siting on already-disturbed land. Establishes federal incentive structure that directs development to appropriate locations. Cited in: Response to P&amp;Z, Guide.</w:t>
      </w:r>
    </w:p>
    <w:p>
      <w:pPr>
        <w:spacing w:after="200" w:before="300" w:line="300"/>
      </w:pPr>
      <w:r>
        <w:rPr>
          <w:rFonts w:ascii="Arial" w:cs="Arial" w:eastAsia="Arial" w:hAnsi="Arial"/>
          <w:b/>
          <w:bCs/>
          <w:i w:val="false"/>
          <w:iCs w:val="false"/>
          <w:color w:val="1F3864"/>
          <w:sz w:val="28"/>
          <w:szCs w:val="28"/>
        </w:rPr>
        <w:t xml:space="preserve">2. Peer-Reviewed Research and Academic Studies</w:t>
      </w:r>
    </w:p>
    <w:p>
      <w:pPr>
        <w:spacing w:after="140"/>
        <w:ind w:left="360"/>
      </w:pPr>
      <w:r>
        <w:rPr>
          <w:rFonts w:ascii="Arial" w:cs="Arial" w:eastAsia="Arial" w:hAnsi="Arial"/>
          <w:b/>
          <w:bCs/>
          <w:sz w:val="22"/>
          <w:szCs w:val="22"/>
        </w:rPr>
        <w:t xml:space="preserve">Hoen et al., Proceedings of the National Academy of Sciences (PNAS, 2025)</w:t>
      </w:r>
      <w:r>
        <w:rPr>
          <w:rFonts w:ascii="Arial" w:cs="Arial" w:eastAsia="Arial" w:hAnsi="Arial"/>
          <w:sz w:val="22"/>
          <w:szCs w:val="22"/>
        </w:rPr>
        <w:t xml:space="preserve"> — </w:t>
      </w:r>
      <w:r>
        <w:rPr>
          <w:rFonts w:ascii="Arial" w:cs="Arial" w:eastAsia="Arial" w:hAnsi="Arial"/>
          <w:i w:val="false"/>
          <w:iCs w:val="false"/>
          <w:sz w:val="22"/>
          <w:szCs w:val="22"/>
        </w:rPr>
        <w:t xml:space="preserve">Documents 4.8% property value decline within 1 mile of utility-scale solar installations. Negative effects extend to approximately 3 miles. For a $400,000 home, this represents $19,200 in lost equity. Cited in: Response to P&amp;Z, Position Paper, Chapter 7, Chapter 11, Guide.</w:t>
      </w:r>
    </w:p>
    <w:p>
      <w:pPr>
        <w:spacing w:after="140"/>
        <w:ind w:left="360"/>
      </w:pPr>
      <w:r>
        <w:rPr>
          <w:rFonts w:ascii="Arial" w:cs="Arial" w:eastAsia="Arial" w:hAnsi="Arial"/>
          <w:b/>
          <w:bCs/>
          <w:sz w:val="22"/>
          <w:szCs w:val="22"/>
        </w:rPr>
        <w:t xml:space="preserve">Hoen et al., Lawrence Berkeley National Laboratory (LBNL, 2023)</w:t>
      </w:r>
      <w:r>
        <w:rPr>
          <w:rFonts w:ascii="Arial" w:cs="Arial" w:eastAsia="Arial" w:hAnsi="Arial"/>
          <w:sz w:val="22"/>
          <w:szCs w:val="22"/>
        </w:rPr>
        <w:t xml:space="preserve"> — </w:t>
      </w:r>
      <w:r>
        <w:rPr>
          <w:rFonts w:ascii="Arial" w:cs="Arial" w:eastAsia="Arial" w:hAnsi="Arial"/>
          <w:i w:val="false"/>
          <w:iCs w:val="false"/>
          <w:sz w:val="22"/>
          <w:szCs w:val="22"/>
        </w:rPr>
        <w:t xml:space="preserve">Homes within 0.5 miles of large-scale PV projects experience average 1.5% price reduction; effects concentrate in rural locations, on agricultural land, for larger projects. Confirms 1.5–4.9% reductions depending on context. Cited in: Response to P&amp;Z, Position Paper, Chapter 11, Guide.</w:t>
      </w:r>
    </w:p>
    <w:p>
      <w:pPr>
        <w:spacing w:after="140"/>
        <w:ind w:left="360"/>
      </w:pPr>
      <w:r>
        <w:rPr>
          <w:rFonts w:ascii="Arial" w:cs="Arial" w:eastAsia="Arial" w:hAnsi="Arial"/>
          <w:b/>
          <w:bCs/>
          <w:sz w:val="22"/>
          <w:szCs w:val="22"/>
        </w:rPr>
        <w:t xml:space="preserve">Hoen et al., LBNL, "Spatial Hedonic Analysis of Wind Energy Facilities" (2009–2023 series)</w:t>
      </w:r>
      <w:r>
        <w:rPr>
          <w:rFonts w:ascii="Arial" w:cs="Arial" w:eastAsia="Arial" w:hAnsi="Arial"/>
          <w:sz w:val="22"/>
          <w:szCs w:val="22"/>
        </w:rPr>
        <w:t xml:space="preserve"> — </w:t>
      </w:r>
      <w:r>
        <w:rPr>
          <w:rFonts w:ascii="Arial" w:cs="Arial" w:eastAsia="Arial" w:hAnsi="Arial"/>
          <w:i w:val="false"/>
          <w:iCs w:val="false"/>
          <w:sz w:val="22"/>
          <w:szCs w:val="22"/>
        </w:rPr>
        <w:t xml:space="preserve">Wind turbine proximity causes 5–10% property value decline within 0.5–1 mile, beginning at project announcement. Effects are persistent. Cited in: Position Paper.</w:t>
      </w:r>
    </w:p>
    <w:p>
      <w:pPr>
        <w:spacing w:after="140"/>
        <w:ind w:left="360"/>
      </w:pPr>
      <w:r>
        <w:rPr>
          <w:rFonts w:ascii="Arial" w:cs="Arial" w:eastAsia="Arial" w:hAnsi="Arial"/>
          <w:b/>
          <w:bCs/>
          <w:sz w:val="22"/>
          <w:szCs w:val="22"/>
        </w:rPr>
        <w:t xml:space="preserve">Garbacz et al., "Examining the Impact of Utility-Scale Solar on Property Values" (2023)</w:t>
      </w:r>
      <w:r>
        <w:rPr>
          <w:rFonts w:ascii="Arial" w:cs="Arial" w:eastAsia="Arial" w:hAnsi="Arial"/>
          <w:sz w:val="22"/>
          <w:szCs w:val="22"/>
        </w:rPr>
        <w:t xml:space="preserve"> — </w:t>
      </w:r>
      <w:r>
        <w:rPr>
          <w:rFonts w:ascii="Arial" w:cs="Arial" w:eastAsia="Arial" w:hAnsi="Arial"/>
          <w:i w:val="false"/>
          <w:iCs w:val="false"/>
          <w:sz w:val="22"/>
          <w:szCs w:val="22"/>
        </w:rPr>
        <w:t xml:space="preserve">Confirms negative property value impacts of 1.5–3.6%, equal to $4,721–$11,330 per home (2019 dollars). Cited in: Position Paper.</w:t>
      </w:r>
    </w:p>
    <w:p>
      <w:pPr>
        <w:spacing w:after="140"/>
        <w:ind w:left="360"/>
      </w:pPr>
      <w:r>
        <w:rPr>
          <w:rFonts w:ascii="Arial" w:cs="Arial" w:eastAsia="Arial" w:hAnsi="Arial"/>
          <w:b/>
          <w:bCs/>
          <w:sz w:val="22"/>
          <w:szCs w:val="22"/>
        </w:rPr>
        <w:t xml:space="preserve">NC State University (2021)</w:t>
      </w:r>
      <w:r>
        <w:rPr>
          <w:rFonts w:ascii="Arial" w:cs="Arial" w:eastAsia="Arial" w:hAnsi="Arial"/>
          <w:sz w:val="22"/>
          <w:szCs w:val="22"/>
        </w:rPr>
        <w:t xml:space="preserve"> — </w:t>
      </w:r>
      <w:r>
        <w:rPr>
          <w:rFonts w:ascii="Arial" w:cs="Arial" w:eastAsia="Arial" w:hAnsi="Arial"/>
          <w:i w:val="false"/>
          <w:iCs w:val="false"/>
          <w:sz w:val="22"/>
          <w:szCs w:val="22"/>
        </w:rPr>
        <w:t xml:space="preserve">Documents 20–40% yield loss on agricultural land for 3–5 years following decommissioning of solar installations. Establishes that solar development on farmland causes measurable, multi-year agricultural productivity loss. Cited in: Response to P&amp;Z, Guide.</w:t>
      </w:r>
    </w:p>
    <w:p>
      <w:pPr>
        <w:spacing w:after="140"/>
        <w:ind w:left="360"/>
      </w:pPr>
      <w:r>
        <w:rPr>
          <w:rFonts w:ascii="Arial" w:cs="Arial" w:eastAsia="Arial" w:hAnsi="Arial"/>
          <w:b/>
          <w:bCs/>
          <w:sz w:val="22"/>
          <w:szCs w:val="22"/>
        </w:rPr>
        <w:t xml:space="preserve">Welsh Government (2023)</w:t>
      </w:r>
      <w:r>
        <w:rPr>
          <w:rFonts w:ascii="Arial" w:cs="Arial" w:eastAsia="Arial" w:hAnsi="Arial"/>
          <w:sz w:val="22"/>
          <w:szCs w:val="22"/>
        </w:rPr>
        <w:t xml:space="preserve"> — </w:t>
      </w:r>
      <w:r>
        <w:rPr>
          <w:rFonts w:ascii="Arial" w:cs="Arial" w:eastAsia="Arial" w:hAnsi="Arial"/>
          <w:i w:val="false"/>
          <w:iCs w:val="false"/>
          <w:sz w:val="22"/>
          <w:szCs w:val="22"/>
        </w:rPr>
        <w:t xml:space="preserve">Documents recovery timescales of 18–30 years to permanent for agricultural soils disturbed by solar construction. Some soils never fully recover. Cited in: Response to P&amp;Z, Guide.</w:t>
      </w:r>
    </w:p>
    <w:p>
      <w:pPr>
        <w:spacing w:after="140"/>
        <w:ind w:left="360"/>
      </w:pPr>
      <w:r>
        <w:rPr>
          <w:rFonts w:ascii="Arial" w:cs="Arial" w:eastAsia="Arial" w:hAnsi="Arial"/>
          <w:b/>
          <w:bCs/>
          <w:sz w:val="22"/>
          <w:szCs w:val="22"/>
        </w:rPr>
        <w:t xml:space="preserve">American Farmland Trust (AFT), Farms Under Threat 2040</w:t>
      </w:r>
      <w:r>
        <w:rPr>
          <w:rFonts w:ascii="Arial" w:cs="Arial" w:eastAsia="Arial" w:hAnsi="Arial"/>
          <w:sz w:val="22"/>
          <w:szCs w:val="22"/>
        </w:rPr>
        <w:t xml:space="preserve"> — </w:t>
      </w:r>
      <w:r>
        <w:rPr>
          <w:rFonts w:ascii="Arial" w:cs="Arial" w:eastAsia="Arial" w:hAnsi="Arial"/>
          <w:i w:val="false"/>
          <w:iCs w:val="false"/>
          <w:sz w:val="22"/>
          <w:szCs w:val="22"/>
        </w:rPr>
        <w:t xml:space="preserve">Projects that 83% of utility-scale solar development will target agricultural land. Establishes the systemic threat to farmland from energy development. Cited in: Response to P&amp;Z, Guide.</w:t>
      </w:r>
    </w:p>
    <w:p>
      <w:pPr>
        <w:spacing w:after="140"/>
        <w:ind w:left="360"/>
      </w:pPr>
      <w:r>
        <w:rPr>
          <w:rFonts w:ascii="Arial" w:cs="Arial" w:eastAsia="Arial" w:hAnsi="Arial"/>
          <w:b/>
          <w:bCs/>
          <w:sz w:val="22"/>
          <w:szCs w:val="22"/>
        </w:rPr>
        <w:t xml:space="preserve">Center for Regional Analysis, George Mason University (Northern Virginia study)</w:t>
      </w:r>
      <w:r>
        <w:rPr>
          <w:rFonts w:ascii="Arial" w:cs="Arial" w:eastAsia="Arial" w:hAnsi="Arial"/>
          <w:sz w:val="22"/>
          <w:szCs w:val="22"/>
        </w:rPr>
        <w:t xml:space="preserve"> — </w:t>
      </w:r>
      <w:r>
        <w:rPr>
          <w:rFonts w:ascii="Arial" w:cs="Arial" w:eastAsia="Arial" w:hAnsi="Arial"/>
          <w:i w:val="false"/>
          <w:iCs w:val="false"/>
          <w:sz w:val="22"/>
          <w:szCs w:val="22"/>
        </w:rPr>
        <w:t xml:space="preserve">Found that proximity to data centers did not create persistent property value drag in Northern Virginia — but this market has 150+ hyperscale facilities and 35% of global hyperscale concentration. Results are not transferable to rural agricultural communities. Cited in: Position Paper.</w:t>
      </w:r>
    </w:p>
    <w:p>
      <w:pPr>
        <w:spacing w:after="200" w:before="300" w:line="300"/>
      </w:pPr>
      <w:r>
        <w:rPr>
          <w:rFonts w:ascii="Arial" w:cs="Arial" w:eastAsia="Arial" w:hAnsi="Arial"/>
          <w:b/>
          <w:bCs/>
          <w:i w:val="false"/>
          <w:iCs w:val="false"/>
          <w:color w:val="1F3864"/>
          <w:sz w:val="28"/>
          <w:szCs w:val="28"/>
        </w:rPr>
        <w:t xml:space="preserve">3. State and Local Legislation</w:t>
      </w:r>
    </w:p>
    <w:p>
      <w:pPr>
        <w:spacing w:after="140"/>
        <w:ind w:left="360"/>
      </w:pPr>
      <w:r>
        <w:rPr>
          <w:rFonts w:ascii="Arial" w:cs="Arial" w:eastAsia="Arial" w:hAnsi="Arial"/>
          <w:b/>
          <w:bCs/>
          <w:sz w:val="22"/>
          <w:szCs w:val="22"/>
        </w:rPr>
        <w:t xml:space="preserve">Idaho SB 1133 (signed April 1, 2025)</w:t>
      </w:r>
      <w:r>
        <w:rPr>
          <w:rFonts w:ascii="Arial" w:cs="Arial" w:eastAsia="Arial" w:hAnsi="Arial"/>
          <w:sz w:val="22"/>
          <w:szCs w:val="22"/>
        </w:rPr>
        <w:t xml:space="preserve"> — </w:t>
      </w:r>
      <w:r>
        <w:rPr>
          <w:rFonts w:ascii="Arial" w:cs="Arial" w:eastAsia="Arial" w:hAnsi="Arial"/>
          <w:i w:val="false"/>
          <w:iCs w:val="false"/>
          <w:sz w:val="22"/>
          <w:szCs w:val="22"/>
        </w:rPr>
        <w:t xml:space="preserve">Amends the Idaho Agricultural Protection Area Act to prohibit solar and wind energy structures on APA-designated lands. Establishes state legislative direction toward agricultural land protection. Cited in: Response to P&amp;Z, Chapter 10, Glossary.</w:t>
      </w:r>
    </w:p>
    <w:p>
      <w:pPr>
        <w:spacing w:after="140"/>
        <w:ind w:left="360"/>
      </w:pPr>
      <w:r>
        <w:rPr>
          <w:rFonts w:ascii="Arial" w:cs="Arial" w:eastAsia="Arial" w:hAnsi="Arial"/>
          <w:b/>
          <w:bCs/>
          <w:sz w:val="22"/>
          <w:szCs w:val="22"/>
        </w:rPr>
        <w:t xml:space="preserve">Idaho Agricultural Protection Area Act (2024)</w:t>
      </w:r>
      <w:r>
        <w:rPr>
          <w:rFonts w:ascii="Arial" w:cs="Arial" w:eastAsia="Arial" w:hAnsi="Arial"/>
          <w:sz w:val="22"/>
          <w:szCs w:val="22"/>
        </w:rPr>
        <w:t xml:space="preserve"> — </w:t>
      </w:r>
      <w:r>
        <w:rPr>
          <w:rFonts w:ascii="Arial" w:cs="Arial" w:eastAsia="Arial" w:hAnsi="Arial"/>
          <w:i w:val="false"/>
          <w:iCs w:val="false"/>
          <w:sz w:val="22"/>
          <w:szCs w:val="22"/>
        </w:rPr>
        <w:t xml:space="preserve">State law safeguarding Idaho’s working farms, ranches, and forests from conversion to non-agricultural uses. Foundation for SB 1133 amendment. Cited in: Chapter 10, Glossary.</w:t>
      </w:r>
    </w:p>
    <w:p>
      <w:pPr>
        <w:spacing w:after="140"/>
        <w:ind w:left="360"/>
      </w:pPr>
      <w:r>
        <w:rPr>
          <w:rFonts w:ascii="Arial" w:cs="Arial" w:eastAsia="Arial" w:hAnsi="Arial"/>
          <w:b/>
          <w:bCs/>
          <w:sz w:val="22"/>
          <w:szCs w:val="22"/>
        </w:rPr>
        <w:t xml:space="preserve">Idaho Code §63-3029B</w:t>
      </w:r>
      <w:r>
        <w:rPr>
          <w:rFonts w:ascii="Arial" w:cs="Arial" w:eastAsia="Arial" w:hAnsi="Arial"/>
          <w:sz w:val="22"/>
          <w:szCs w:val="22"/>
        </w:rPr>
        <w:t xml:space="preserve"> — </w:t>
      </w:r>
      <w:r>
        <w:rPr>
          <w:rFonts w:ascii="Arial" w:cs="Arial" w:eastAsia="Arial" w:hAnsi="Arial"/>
          <w:i w:val="false"/>
          <w:iCs w:val="false"/>
          <w:sz w:val="22"/>
          <w:szCs w:val="22"/>
        </w:rPr>
        <w:t xml:space="preserve">Solar facility property tax exemption provision. Relevant to analysis of actual vs. promised tax revenue from energy development. Cited in: Position Paper, Guide.</w:t>
      </w:r>
    </w:p>
    <w:p>
      <w:pPr>
        <w:spacing w:after="140"/>
        <w:ind w:left="360"/>
      </w:pPr>
      <w:r>
        <w:rPr>
          <w:rFonts w:ascii="Arial" w:cs="Arial" w:eastAsia="Arial" w:hAnsi="Arial"/>
          <w:b/>
          <w:bCs/>
          <w:sz w:val="22"/>
          <w:szCs w:val="22"/>
        </w:rPr>
        <w:t xml:space="preserve">Idaho HCR032 (2026) — House Concurrent Resolution on State Energy Sovereignty</w:t>
      </w:r>
      <w:r>
        <w:rPr>
          <w:rFonts w:ascii="Arial" w:cs="Arial" w:eastAsia="Arial" w:hAnsi="Arial"/>
          <w:sz w:val="22"/>
          <w:szCs w:val="22"/>
        </w:rPr>
        <w:t xml:space="preserve"> — </w:t>
      </w:r>
      <w:r>
        <w:rPr>
          <w:rFonts w:ascii="Arial" w:cs="Arial" w:eastAsia="Arial" w:hAnsi="Arial"/>
          <w:i w:val="false"/>
          <w:iCs w:val="false"/>
          <w:sz w:val="22"/>
          <w:szCs w:val="22"/>
        </w:rPr>
        <w:t xml:space="preserve">Adopted by the Idaho House of Representatives March 16, 2026. Declares that transmission infrastructure that does not benefit Idaho utility customers and materially harms agriculture, critical water resources, or rural communities is inconsistent with state policy. Affirms that “private property rights, local land use authority, and the protection of agricultural and rural communities are paramount considerations” in energy infrastructure siting. Recognizes the Eastern Snake Plain Aquifer as “a critical ground water resource supporting Idaho agriculture, rural communities, and economic stability.” Requires all major energy transmission projects to demonstrate “clear, measurable, and durable net benefit to Idaho ratepayers.” Cited in: Response to P&amp;Z, Chapter 10, Chapter 11, Position Paper, Water &amp; Utilities Supplement, Guide.</w:t>
      </w:r>
    </w:p>
    <w:p>
      <w:pPr>
        <w:spacing w:after="140"/>
        <w:ind w:left="360"/>
      </w:pPr>
      <w:r>
        <w:rPr>
          <w:rFonts w:ascii="Arial" w:cs="Arial" w:eastAsia="Arial" w:hAnsi="Arial"/>
          <w:b/>
          <w:bCs/>
          <w:sz w:val="22"/>
          <w:szCs w:val="22"/>
        </w:rPr>
        <w:t xml:space="preserve">Idaho Local Land Use Planning Act (LLUPA), Idaho Code §67-6501 et seq.</w:t>
      </w:r>
      <w:r>
        <w:rPr>
          <w:rFonts w:ascii="Arial" w:cs="Arial" w:eastAsia="Arial" w:hAnsi="Arial"/>
          <w:sz w:val="22"/>
          <w:szCs w:val="22"/>
        </w:rPr>
        <w:t xml:space="preserve"> — </w:t>
      </w:r>
      <w:r>
        <w:rPr>
          <w:rFonts w:ascii="Arial" w:cs="Arial" w:eastAsia="Arial" w:hAnsi="Arial"/>
          <w:i w:val="false"/>
          <w:iCs w:val="false"/>
          <w:sz w:val="22"/>
          <w:szCs w:val="22"/>
        </w:rPr>
        <w:t xml:space="preserve">State statute authorizing counties to adopt comprehensive plans and zoning ordinances. Requires zoning-comprehensive plan consistency. Legal foundation for Jerome County’s regulatory authority. Cited in: Chapter 10, Glossary.</w:t>
      </w:r>
    </w:p>
    <w:p>
      <w:pPr>
        <w:spacing w:after="200" w:before="300" w:line="300"/>
      </w:pPr>
      <w:r>
        <w:rPr>
          <w:rFonts w:ascii="Arial" w:cs="Arial" w:eastAsia="Arial" w:hAnsi="Arial"/>
          <w:b/>
          <w:bCs/>
          <w:i w:val="false"/>
          <w:iCs w:val="false"/>
          <w:color w:val="1F3864"/>
          <w:sz w:val="28"/>
          <w:szCs w:val="28"/>
        </w:rPr>
        <w:t xml:space="preserve">4. County-Level Regulatory Precedents</w:t>
      </w:r>
    </w:p>
    <w:p>
      <w:pPr>
        <w:spacing w:after="140"/>
        <w:ind w:left="360"/>
      </w:pPr>
      <w:r>
        <w:rPr>
          <w:rFonts w:ascii="Arial" w:cs="Arial" w:eastAsia="Arial" w:hAnsi="Arial"/>
          <w:b/>
          <w:bCs/>
          <w:sz w:val="22"/>
          <w:szCs w:val="22"/>
        </w:rPr>
        <w:t xml:space="preserve">Cecil County, Maryland</w:t>
      </w:r>
      <w:r>
        <w:rPr>
          <w:rFonts w:ascii="Arial" w:cs="Arial" w:eastAsia="Arial" w:hAnsi="Arial"/>
          <w:sz w:val="22"/>
          <w:szCs w:val="22"/>
        </w:rPr>
        <w:t xml:space="preserve"> — </w:t>
      </w:r>
      <w:r>
        <w:rPr>
          <w:rFonts w:ascii="Arial" w:cs="Arial" w:eastAsia="Arial" w:hAnsi="Arial"/>
          <w:i w:val="false"/>
          <w:iCs w:val="false"/>
          <w:sz w:val="22"/>
          <w:szCs w:val="22"/>
        </w:rPr>
        <w:t xml:space="preserve">Enacted categorical prohibition on energy facility siting on Class I and Class II agricultural soils. One of the strictest agricultural soil protections in the United States. Precedent sustained and operational. Cited in: Response to P&amp;Z, Chapter 10, Guide.</w:t>
      </w:r>
    </w:p>
    <w:p>
      <w:pPr>
        <w:spacing w:after="140"/>
        <w:ind w:left="360"/>
      </w:pPr>
      <w:r>
        <w:rPr>
          <w:rFonts w:ascii="Arial" w:cs="Arial" w:eastAsia="Arial" w:hAnsi="Arial"/>
          <w:b/>
          <w:bCs/>
          <w:sz w:val="22"/>
          <w:szCs w:val="22"/>
        </w:rPr>
        <w:t xml:space="preserve">Montgomery County, Maryland</w:t>
      </w:r>
      <w:r>
        <w:rPr>
          <w:rFonts w:ascii="Arial" w:cs="Arial" w:eastAsia="Arial" w:hAnsi="Arial"/>
          <w:sz w:val="22"/>
          <w:szCs w:val="22"/>
        </w:rPr>
        <w:t xml:space="preserve"> — </w:t>
      </w:r>
      <w:r>
        <w:rPr>
          <w:rFonts w:ascii="Arial" w:cs="Arial" w:eastAsia="Arial" w:hAnsi="Arial"/>
          <w:i w:val="false"/>
          <w:iCs w:val="false"/>
          <w:sz w:val="22"/>
          <w:szCs w:val="22"/>
        </w:rPr>
        <w:t xml:space="preserve">Enacted categorical prohibition on energy facility siting on Class I and Class II soils. Companion precedent to Cecil County. Cited in: Response to P&amp;Z, Chapter 10.</w:t>
      </w:r>
    </w:p>
    <w:p>
      <w:pPr>
        <w:spacing w:after="140"/>
        <w:ind w:left="360"/>
      </w:pPr>
      <w:r>
        <w:rPr>
          <w:rFonts w:ascii="Arial" w:cs="Arial" w:eastAsia="Arial" w:hAnsi="Arial"/>
          <w:b/>
          <w:bCs/>
          <w:sz w:val="22"/>
          <w:szCs w:val="22"/>
        </w:rPr>
        <w:t xml:space="preserve">Bannock County, Idaho (March 2024)</w:t>
      </w:r>
      <w:r>
        <w:rPr>
          <w:rFonts w:ascii="Arial" w:cs="Arial" w:eastAsia="Arial" w:hAnsi="Arial"/>
          <w:sz w:val="22"/>
          <w:szCs w:val="22"/>
        </w:rPr>
        <w:t xml:space="preserve"> — </w:t>
      </w:r>
      <w:r>
        <w:rPr>
          <w:rFonts w:ascii="Arial" w:cs="Arial" w:eastAsia="Arial" w:hAnsi="Arial"/>
          <w:i w:val="false"/>
          <w:iCs w:val="false"/>
          <w:sz w:val="22"/>
          <w:szCs w:val="22"/>
        </w:rPr>
        <w:t xml:space="preserve">Total ban on utility-scale solar and wind energy facilities. Demonstrates that Idaho counties have exercised maximum regulatory authority over energy siting. Cited in: Response to P&amp;Z, Guide.</w:t>
      </w:r>
    </w:p>
    <w:p>
      <w:pPr>
        <w:spacing w:after="140"/>
        <w:ind w:left="360"/>
      </w:pPr>
      <w:r>
        <w:rPr>
          <w:rFonts w:ascii="Arial" w:cs="Arial" w:eastAsia="Arial" w:hAnsi="Arial"/>
          <w:b/>
          <w:bCs/>
          <w:sz w:val="22"/>
          <w:szCs w:val="22"/>
        </w:rPr>
        <w:t xml:space="preserve">Boone County, Indiana</w:t>
      </w:r>
      <w:r>
        <w:rPr>
          <w:rFonts w:ascii="Arial" w:cs="Arial" w:eastAsia="Arial" w:hAnsi="Arial"/>
          <w:sz w:val="22"/>
          <w:szCs w:val="22"/>
        </w:rPr>
        <w:t xml:space="preserve"> — </w:t>
      </w:r>
      <w:r>
        <w:rPr>
          <w:rFonts w:ascii="Arial" w:cs="Arial" w:eastAsia="Arial" w:hAnsi="Arial"/>
          <w:i w:val="false"/>
          <w:iCs w:val="false"/>
          <w:sz w:val="22"/>
          <w:szCs w:val="22"/>
        </w:rPr>
        <w:t xml:space="preserve">Decommissioning bond at 150% of county-verified removal cost. Precedent for the financial assurance standard adopted in this ordinance package. Cited in: Chapter 11.</w:t>
      </w:r>
    </w:p>
    <w:p>
      <w:pPr>
        <w:spacing w:after="200" w:before="300" w:line="300"/>
      </w:pPr>
      <w:r>
        <w:rPr>
          <w:rFonts w:ascii="Arial" w:cs="Arial" w:eastAsia="Arial" w:hAnsi="Arial"/>
          <w:b/>
          <w:bCs/>
          <w:i w:val="false"/>
          <w:iCs w:val="false"/>
          <w:color w:val="1F3864"/>
          <w:sz w:val="28"/>
          <w:szCs w:val="28"/>
        </w:rPr>
        <w:t xml:space="preserve">5. Constitutional and Case Law</w:t>
      </w:r>
    </w:p>
    <w:p>
      <w:pPr>
        <w:spacing w:after="140"/>
        <w:ind w:left="360"/>
      </w:pPr>
      <w:r>
        <w:rPr>
          <w:rFonts w:ascii="Arial" w:cs="Arial" w:eastAsia="Arial" w:hAnsi="Arial"/>
          <w:b/>
          <w:bCs/>
          <w:sz w:val="22"/>
          <w:szCs w:val="22"/>
        </w:rPr>
        <w:t xml:space="preserve">Village of Euclid v. Ambler Realty Co., 272 U.S. 365 (1926)</w:t>
      </w:r>
      <w:r>
        <w:rPr>
          <w:rFonts w:ascii="Arial" w:cs="Arial" w:eastAsia="Arial" w:hAnsi="Arial"/>
          <w:sz w:val="22"/>
          <w:szCs w:val="22"/>
        </w:rPr>
        <w:t xml:space="preserve"> — </w:t>
      </w:r>
      <w:r>
        <w:rPr>
          <w:rFonts w:ascii="Arial" w:cs="Arial" w:eastAsia="Arial" w:hAnsi="Arial"/>
          <w:i w:val="false"/>
          <w:iCs w:val="false"/>
          <w:sz w:val="22"/>
          <w:szCs w:val="22"/>
        </w:rPr>
        <w:t xml:space="preserve">Established the constitutionality of zoning as an exercise of the police power. The foundational case for all land use regulation. Cited in: Position Paper, Glossary.</w:t>
      </w:r>
    </w:p>
    <w:p>
      <w:pPr>
        <w:spacing w:after="140"/>
        <w:ind w:left="360"/>
      </w:pPr>
      <w:r>
        <w:rPr>
          <w:rFonts w:ascii="Arial" w:cs="Arial" w:eastAsia="Arial" w:hAnsi="Arial"/>
          <w:b/>
          <w:bCs/>
          <w:sz w:val="22"/>
          <w:szCs w:val="22"/>
        </w:rPr>
        <w:t xml:space="preserve">Penn Central Transportation Co. v. City of New York, 438 U.S. 104 (1978)</w:t>
      </w:r>
      <w:r>
        <w:rPr>
          <w:rFonts w:ascii="Arial" w:cs="Arial" w:eastAsia="Arial" w:hAnsi="Arial"/>
          <w:sz w:val="22"/>
          <w:szCs w:val="22"/>
        </w:rPr>
        <w:t xml:space="preserve"> — </w:t>
      </w:r>
      <w:r>
        <w:rPr>
          <w:rFonts w:ascii="Arial" w:cs="Arial" w:eastAsia="Arial" w:hAnsi="Arial"/>
          <w:i w:val="false"/>
          <w:iCs w:val="false"/>
          <w:sz w:val="22"/>
          <w:szCs w:val="22"/>
        </w:rPr>
        <w:t xml:space="preserve">Established the three-factor test for regulatory takings: economic impact, interference with investment-backed expectations, and character of government action. A property owner does not have a vested right in maximizing property value. Cited in: Position Paper, Glossary.</w:t>
      </w:r>
    </w:p>
    <w:p>
      <w:pPr>
        <w:spacing w:after="140"/>
        <w:ind w:left="360"/>
      </w:pPr>
      <w:r>
        <w:rPr>
          <w:rFonts w:ascii="Arial" w:cs="Arial" w:eastAsia="Arial" w:hAnsi="Arial"/>
          <w:b/>
          <w:bCs/>
          <w:sz w:val="22"/>
          <w:szCs w:val="22"/>
        </w:rPr>
        <w:t xml:space="preserve">Nollan v. California Coastal Commission, 483 U.S. 825 (1987)</w:t>
      </w:r>
      <w:r>
        <w:rPr>
          <w:rFonts w:ascii="Arial" w:cs="Arial" w:eastAsia="Arial" w:hAnsi="Arial"/>
          <w:sz w:val="22"/>
          <w:szCs w:val="22"/>
        </w:rPr>
        <w:t xml:space="preserve"> — </w:t>
      </w:r>
      <w:r>
        <w:rPr>
          <w:rFonts w:ascii="Arial" w:cs="Arial" w:eastAsia="Arial" w:hAnsi="Arial"/>
          <w:i w:val="false"/>
          <w:iCs w:val="false"/>
          <w:sz w:val="22"/>
          <w:szCs w:val="22"/>
        </w:rPr>
        <w:t xml:space="preserve">Established the "nexus" requirement: conditions on development must be reasonably related to the project’s impacts. Cited in: Position Paper, Glossary.</w:t>
      </w:r>
    </w:p>
    <w:p>
      <w:pPr>
        <w:spacing w:after="140"/>
        <w:ind w:left="360"/>
      </w:pPr>
      <w:r>
        <w:rPr>
          <w:rFonts w:ascii="Arial" w:cs="Arial" w:eastAsia="Arial" w:hAnsi="Arial"/>
          <w:b/>
          <w:bCs/>
          <w:sz w:val="22"/>
          <w:szCs w:val="22"/>
        </w:rPr>
        <w:t xml:space="preserve">Dolan v. City of Tigard, 512 U.S. 374 (1994)</w:t>
      </w:r>
      <w:r>
        <w:rPr>
          <w:rFonts w:ascii="Arial" w:cs="Arial" w:eastAsia="Arial" w:hAnsi="Arial"/>
          <w:sz w:val="22"/>
          <w:szCs w:val="22"/>
        </w:rPr>
        <w:t xml:space="preserve"> — </w:t>
      </w:r>
      <w:r>
        <w:rPr>
          <w:rFonts w:ascii="Arial" w:cs="Arial" w:eastAsia="Arial" w:hAnsi="Arial"/>
          <w:i w:val="false"/>
          <w:iCs w:val="false"/>
          <w:sz w:val="22"/>
          <w:szCs w:val="22"/>
        </w:rPr>
        <w:t xml:space="preserve">Established the "rough proportionality" requirement: conditions must be proportional to impacts. Together with Nollan, provides the framework for impact-based conditions on energy and data center development. Cited in: Position Paper, Glossary.</w:t>
      </w:r>
    </w:p>
    <w:p>
      <w:pPr>
        <w:spacing w:after="140"/>
        <w:ind w:left="360"/>
      </w:pPr>
      <w:r>
        <w:rPr>
          <w:rFonts w:ascii="Arial" w:cs="Arial" w:eastAsia="Arial" w:hAnsi="Arial"/>
          <w:b/>
          <w:bCs/>
          <w:sz w:val="22"/>
          <w:szCs w:val="22"/>
        </w:rPr>
        <w:t xml:space="preserve">Agins v. City of Tiburon, 447 U.S. 255 (1980)</w:t>
      </w:r>
      <w:r>
        <w:rPr>
          <w:rFonts w:ascii="Arial" w:cs="Arial" w:eastAsia="Arial" w:hAnsi="Arial"/>
          <w:sz w:val="22"/>
          <w:szCs w:val="22"/>
        </w:rPr>
        <w:t xml:space="preserve"> — </w:t>
      </w:r>
      <w:r>
        <w:rPr>
          <w:rFonts w:ascii="Arial" w:cs="Arial" w:eastAsia="Arial" w:hAnsi="Arial"/>
          <w:i w:val="false"/>
          <w:iCs w:val="false"/>
          <w:sz w:val="22"/>
          <w:szCs w:val="22"/>
        </w:rPr>
        <w:t xml:space="preserve">Confirmed that a regulation resulting in diminution of value is not a taking where the regulation substantially advances legitimate state interests. Cited in: Position Paper.</w:t>
      </w:r>
    </w:p>
    <w:p>
      <w:pPr>
        <w:spacing w:after="200" w:before="300" w:line="300"/>
      </w:pPr>
      <w:r>
        <w:rPr>
          <w:rFonts w:ascii="Arial" w:cs="Arial" w:eastAsia="Arial" w:hAnsi="Arial"/>
          <w:b/>
          <w:bCs/>
          <w:i w:val="false"/>
          <w:iCs w:val="false"/>
          <w:color w:val="1F3864"/>
          <w:sz w:val="28"/>
          <w:szCs w:val="28"/>
        </w:rPr>
        <w:t xml:space="preserve">6. Utility, Market, and Industry Data</w:t>
      </w:r>
    </w:p>
    <w:p>
      <w:pPr>
        <w:spacing w:after="140"/>
        <w:ind w:left="360"/>
      </w:pPr>
      <w:r>
        <w:rPr>
          <w:rFonts w:ascii="Arial" w:cs="Arial" w:eastAsia="Arial" w:hAnsi="Arial"/>
          <w:b/>
          <w:bCs/>
          <w:sz w:val="22"/>
          <w:szCs w:val="22"/>
        </w:rPr>
        <w:t xml:space="preserve">Virginia State Corporation Commission (SCC) filings</w:t>
      </w:r>
      <w:r>
        <w:rPr>
          <w:rFonts w:ascii="Arial" w:cs="Arial" w:eastAsia="Arial" w:hAnsi="Arial"/>
          <w:sz w:val="22"/>
          <w:szCs w:val="22"/>
        </w:rPr>
        <w:t xml:space="preserve"> — </w:t>
      </w:r>
      <w:r>
        <w:rPr>
          <w:rFonts w:ascii="Arial" w:cs="Arial" w:eastAsia="Arial" w:hAnsi="Arial"/>
          <w:i w:val="false"/>
          <w:iCs w:val="false"/>
          <w:sz w:val="22"/>
          <w:szCs w:val="22"/>
        </w:rPr>
        <w:t xml:space="preserve">Documents electricity price increases of up to 267% over five years in Virginia, driven substantially by data center demand. Cited in: Position Paper, Chapter 10.</w:t>
      </w:r>
    </w:p>
    <w:p>
      <w:pPr>
        <w:spacing w:after="140"/>
        <w:ind w:left="360"/>
      </w:pPr>
      <w:r>
        <w:rPr>
          <w:rFonts w:ascii="Arial" w:cs="Arial" w:eastAsia="Arial" w:hAnsi="Arial"/>
          <w:b/>
          <w:bCs/>
          <w:sz w:val="22"/>
          <w:szCs w:val="22"/>
        </w:rPr>
        <w:t xml:space="preserve">S&amp;P Global Market Intelligence, Regulatory Research Associates (2025)</w:t>
      </w:r>
      <w:r>
        <w:rPr>
          <w:rFonts w:ascii="Arial" w:cs="Arial" w:eastAsia="Arial" w:hAnsi="Arial"/>
          <w:sz w:val="22"/>
          <w:szCs w:val="22"/>
        </w:rPr>
        <w:t xml:space="preserve"> — </w:t>
      </w:r>
      <w:r>
        <w:rPr>
          <w:rFonts w:ascii="Arial" w:cs="Arial" w:eastAsia="Arial" w:hAnsi="Arial"/>
          <w:i w:val="false"/>
          <w:iCs w:val="false"/>
          <w:sz w:val="22"/>
          <w:szCs w:val="22"/>
        </w:rPr>
        <w:t xml:space="preserve">Utilities requested more than $29 billion in rate increases in the first half of 2025 alone — double the prior year. Establishes the systemic nature of utility rate effects. Cited in: Position Paper.</w:t>
      </w:r>
    </w:p>
    <w:p>
      <w:pPr>
        <w:spacing w:after="140"/>
        <w:ind w:left="360"/>
      </w:pPr>
      <w:r>
        <w:rPr>
          <w:rFonts w:ascii="Arial" w:cs="Arial" w:eastAsia="Arial" w:hAnsi="Arial"/>
          <w:b/>
          <w:bCs/>
          <w:sz w:val="22"/>
          <w:szCs w:val="22"/>
        </w:rPr>
        <w:t xml:space="preserve">PJM Interconnection, 2025–26 Base Residual Auction Results</w:t>
      </w:r>
      <w:r>
        <w:rPr>
          <w:rFonts w:ascii="Arial" w:cs="Arial" w:eastAsia="Arial" w:hAnsi="Arial"/>
          <w:sz w:val="22"/>
          <w:szCs w:val="22"/>
        </w:rPr>
        <w:t xml:space="preserve"> — </w:t>
      </w:r>
      <w:r>
        <w:rPr>
          <w:rFonts w:ascii="Arial" w:cs="Arial" w:eastAsia="Arial" w:hAnsi="Arial"/>
          <w:i w:val="false"/>
          <w:iCs w:val="false"/>
          <w:sz w:val="22"/>
          <w:szCs w:val="22"/>
        </w:rPr>
        <w:t xml:space="preserve">Data centers accounted for estimated $9.3 billion price increase in the 2025–26 capacity market. Average residential bills expected to rise $18/month in western Maryland, $16/month in Ohio. Cited in: Position Paper, Chapter 11.</w:t>
      </w:r>
    </w:p>
    <w:p>
      <w:pPr>
        <w:spacing w:after="140"/>
        <w:ind w:left="360"/>
      </w:pPr>
      <w:r>
        <w:rPr>
          <w:rFonts w:ascii="Arial" w:cs="Arial" w:eastAsia="Arial" w:hAnsi="Arial"/>
          <w:b/>
          <w:bCs/>
          <w:sz w:val="22"/>
          <w:szCs w:val="22"/>
        </w:rPr>
        <w:t xml:space="preserve">NPR/AP Reporting (2025)</w:t>
      </w:r>
      <w:r>
        <w:rPr>
          <w:rFonts w:ascii="Arial" w:cs="Arial" w:eastAsia="Arial" w:hAnsi="Arial"/>
          <w:sz w:val="22"/>
          <w:szCs w:val="22"/>
        </w:rPr>
        <w:t xml:space="preserve"> — </w:t>
      </w:r>
      <w:r>
        <w:rPr>
          <w:rFonts w:ascii="Arial" w:cs="Arial" w:eastAsia="Arial" w:hAnsi="Arial"/>
          <w:i w:val="false"/>
          <w:iCs w:val="false"/>
          <w:sz w:val="22"/>
          <w:szCs w:val="22"/>
        </w:rPr>
        <w:t xml:space="preserve">Confirms PJM capacity market price increases and documents residential bill impacts from data center-driven demand. Cited in: Position Paper.</w:t>
      </w:r>
    </w:p>
    <w:p>
      <w:pPr>
        <w:spacing w:after="140"/>
        <w:ind w:left="360"/>
      </w:pPr>
      <w:r>
        <w:rPr>
          <w:rFonts w:ascii="Arial" w:cs="Arial" w:eastAsia="Arial" w:hAnsi="Arial"/>
          <w:b/>
          <w:bCs/>
          <w:sz w:val="22"/>
          <w:szCs w:val="22"/>
        </w:rPr>
        <w:t xml:space="preserve">CNBC Reporting (2025)</w:t>
      </w:r>
      <w:r>
        <w:rPr>
          <w:rFonts w:ascii="Arial" w:cs="Arial" w:eastAsia="Arial" w:hAnsi="Arial"/>
          <w:sz w:val="22"/>
          <w:szCs w:val="22"/>
        </w:rPr>
        <w:t xml:space="preserve"> — </w:t>
      </w:r>
      <w:r>
        <w:rPr>
          <w:rFonts w:ascii="Arial" w:cs="Arial" w:eastAsia="Arial" w:hAnsi="Arial"/>
          <w:i w:val="false"/>
          <w:iCs w:val="false"/>
          <w:sz w:val="22"/>
          <w:szCs w:val="22"/>
        </w:rPr>
        <w:t xml:space="preserve">Documents Virginia utility rate increases linked to data center concentration. Cited in: Position Paper.</w:t>
      </w:r>
    </w:p>
    <w:p>
      <w:pPr>
        <w:spacing w:after="200" w:before="300" w:line="300"/>
      </w:pPr>
      <w:r>
        <w:rPr>
          <w:rFonts w:ascii="Arial" w:cs="Arial" w:eastAsia="Arial" w:hAnsi="Arial"/>
          <w:b/>
          <w:bCs/>
          <w:i w:val="false"/>
          <w:iCs w:val="false"/>
          <w:color w:val="1F3864"/>
          <w:sz w:val="28"/>
          <w:szCs w:val="28"/>
        </w:rPr>
        <w:t xml:space="preserve">7. Water Resources and Infrastructure</w:t>
      </w:r>
    </w:p>
    <w:p>
      <w:pPr>
        <w:spacing w:after="140"/>
        <w:ind w:left="360"/>
      </w:pPr>
      <w:r>
        <w:rPr>
          <w:rFonts w:ascii="Arial" w:cs="Arial" w:eastAsia="Arial" w:hAnsi="Arial"/>
          <w:b/>
          <w:bCs/>
          <w:sz w:val="22"/>
          <w:szCs w:val="22"/>
        </w:rPr>
        <w:t xml:space="preserve">Idaho Department of Water Resources (IDWR), 2024–2025 Shortfall Determinations</w:t>
      </w:r>
      <w:r>
        <w:rPr>
          <w:rFonts w:ascii="Arial" w:cs="Arial" w:eastAsia="Arial" w:hAnsi="Arial"/>
          <w:sz w:val="22"/>
          <w:szCs w:val="22"/>
        </w:rPr>
        <w:t xml:space="preserve"> — </w:t>
      </w:r>
      <w:r>
        <w:rPr>
          <w:rFonts w:ascii="Arial" w:cs="Arial" w:eastAsia="Arial" w:hAnsi="Arial"/>
          <w:i w:val="false"/>
          <w:iCs w:val="false"/>
          <w:sz w:val="22"/>
          <w:szCs w:val="22"/>
        </w:rPr>
        <w:t xml:space="preserve">IDWR identified a 74,000 acre-foot shortfall in 2024, growing to 75,300 acre-feet by July 2025. Curtailment ordered for all junior groundwater rights after October 11, 1900—the earliest cutoff date ever established. Establishes that the ESPA is already in deficit with no margin for new large-scale industrial water demand. Cited in: Water &amp; Utilities Supplement.</w:t>
      </w:r>
    </w:p>
    <w:p>
      <w:pPr>
        <w:spacing w:after="140"/>
        <w:ind w:left="360"/>
      </w:pPr>
      <w:r>
        <w:rPr>
          <w:rFonts w:ascii="Arial" w:cs="Arial" w:eastAsia="Arial" w:hAnsi="Arial"/>
          <w:b/>
          <w:bCs/>
          <w:sz w:val="22"/>
          <w:szCs w:val="22"/>
        </w:rPr>
        <w:t xml:space="preserve">Idaho SB 1341 (2024 Legislative Session)</w:t>
      </w:r>
      <w:r>
        <w:rPr>
          <w:rFonts w:ascii="Arial" w:cs="Arial" w:eastAsia="Arial" w:hAnsi="Arial"/>
          <w:sz w:val="22"/>
          <w:szCs w:val="22"/>
        </w:rPr>
        <w:t xml:space="preserve"> — </w:t>
      </w:r>
      <w:r>
        <w:rPr>
          <w:rFonts w:ascii="Arial" w:cs="Arial" w:eastAsia="Arial" w:hAnsi="Arial"/>
          <w:i w:val="false"/>
          <w:iCs w:val="false"/>
          <w:sz w:val="22"/>
          <w:szCs w:val="22"/>
        </w:rPr>
        <w:t xml:space="preserve">Updated the ESPA Area of Common Ground Water Supply boundaries effective July 1, 2024, reflecting tighter regulatory controls over groundwater management. Cited in: Water &amp; Utilities Supplement.</w:t>
      </w:r>
    </w:p>
    <w:p>
      <w:pPr>
        <w:spacing w:after="140"/>
        <w:ind w:left="360"/>
      </w:pPr>
      <w:r>
        <w:rPr>
          <w:rFonts w:ascii="Arial" w:cs="Arial" w:eastAsia="Arial" w:hAnsi="Arial"/>
          <w:b/>
          <w:bCs/>
          <w:sz w:val="22"/>
          <w:szCs w:val="22"/>
        </w:rPr>
        <w:t xml:space="preserve">S&amp;P Global, “Beneath the Surface: Water Stress in Data Centers” (2025)</w:t>
      </w:r>
      <w:r>
        <w:rPr>
          <w:rFonts w:ascii="Arial" w:cs="Arial" w:eastAsia="Arial" w:hAnsi="Arial"/>
          <w:sz w:val="22"/>
          <w:szCs w:val="22"/>
        </w:rPr>
        <w:t xml:space="preserve"> — </w:t>
      </w:r>
      <w:r>
        <w:rPr>
          <w:rFonts w:ascii="Arial" w:cs="Arial" w:eastAsia="Arial" w:hAnsi="Arial"/>
          <w:i w:val="false"/>
          <w:iCs w:val="false"/>
          <w:sz w:val="22"/>
          <w:szCs w:val="22"/>
        </w:rPr>
        <w:t xml:space="preserve">Data centers consumed approximately 66 billion liters of water in 2023; projections reach 150–300 billion liters annually by 2028. Large data centers can consume up to 5 million gallons per day. Cited in: Water &amp; Utilities Supplement.</w:t>
      </w:r>
    </w:p>
    <w:p>
      <w:pPr>
        <w:spacing w:after="140"/>
        <w:ind w:left="360"/>
      </w:pPr>
      <w:r>
        <w:rPr>
          <w:rFonts w:ascii="Arial" w:cs="Arial" w:eastAsia="Arial" w:hAnsi="Arial"/>
          <w:b/>
          <w:bCs/>
          <w:sz w:val="22"/>
          <w:szCs w:val="22"/>
        </w:rPr>
        <w:t xml:space="preserve">Brookings Institution, “The Local Implications of Data Centers for Rural Communities” (2025)</w:t>
      </w:r>
      <w:r>
        <w:rPr>
          <w:rFonts w:ascii="Arial" w:cs="Arial" w:eastAsia="Arial" w:hAnsi="Arial"/>
          <w:sz w:val="22"/>
          <w:szCs w:val="22"/>
        </w:rPr>
        <w:t xml:space="preserve"> — </w:t>
      </w:r>
      <w:r>
        <w:rPr>
          <w:rFonts w:ascii="Arial" w:cs="Arial" w:eastAsia="Arial" w:hAnsi="Arial"/>
          <w:i w:val="false"/>
          <w:iCs w:val="false"/>
          <w:sz w:val="22"/>
          <w:szCs w:val="22"/>
        </w:rPr>
        <w:t xml:space="preserve">A single data center can become the largest water consumer in a rural community overnight. Communities face lower water tables, depleted wells, competition for municipal supply, and reduced stream flows. Cited in: Water &amp; Utilities Supplement, Position Paper.</w:t>
      </w:r>
    </w:p>
    <w:p>
      <w:pPr>
        <w:spacing w:after="140"/>
        <w:ind w:left="360"/>
      </w:pPr>
      <w:r>
        <w:rPr>
          <w:rFonts w:ascii="Arial" w:cs="Arial" w:eastAsia="Arial" w:hAnsi="Arial"/>
          <w:b/>
          <w:bCs/>
          <w:sz w:val="22"/>
          <w:szCs w:val="22"/>
        </w:rPr>
        <w:t xml:space="preserve">Bluefield Research, “Data Center Water Secrecy Hurts Communities” (2025)</w:t>
      </w:r>
      <w:r>
        <w:rPr>
          <w:rFonts w:ascii="Arial" w:cs="Arial" w:eastAsia="Arial" w:hAnsi="Arial"/>
          <w:sz w:val="22"/>
          <w:szCs w:val="22"/>
        </w:rPr>
        <w:t xml:space="preserve"> — </w:t>
      </w:r>
      <w:r>
        <w:rPr>
          <w:rFonts w:ascii="Arial" w:cs="Arial" w:eastAsia="Arial" w:hAnsi="Arial"/>
          <w:i w:val="false"/>
          <w:iCs w:val="false"/>
          <w:sz w:val="22"/>
          <w:szCs w:val="22"/>
        </w:rPr>
        <w:t xml:space="preserve">80% of 31 Virginia municipalities studied had non-disclosure agreements with data center developers limiting public access to water consumption data. Cited in: Water &amp; Utilities Supplement.</w:t>
      </w:r>
    </w:p>
    <w:p>
      <w:pPr>
        <w:spacing w:after="140"/>
        <w:ind w:left="360"/>
      </w:pPr>
      <w:r>
        <w:rPr>
          <w:rFonts w:ascii="Arial" w:cs="Arial" w:eastAsia="Arial" w:hAnsi="Arial"/>
          <w:b/>
          <w:bCs/>
          <w:sz w:val="22"/>
          <w:szCs w:val="22"/>
        </w:rPr>
        <w:t xml:space="preserve">Department of Energy, Data Center Energy Use Report (2024)</w:t>
      </w:r>
      <w:r>
        <w:rPr>
          <w:rFonts w:ascii="Arial" w:cs="Arial" w:eastAsia="Arial" w:hAnsi="Arial"/>
          <w:sz w:val="22"/>
          <w:szCs w:val="22"/>
        </w:rPr>
        <w:t xml:space="preserve"> — </w:t>
      </w:r>
      <w:r>
        <w:rPr>
          <w:rFonts w:ascii="Arial" w:cs="Arial" w:eastAsia="Arial" w:hAnsi="Arial"/>
          <w:i w:val="false"/>
          <w:iCs w:val="false"/>
          <w:sz w:val="22"/>
          <w:szCs w:val="22"/>
        </w:rPr>
        <w:t xml:space="preserve">Data center load growth tripled over the past decade and will double or triple by 2028. Data centers consumed over 4% of U.S. electricity and emitted 106 million metric tons of CO2 in 2024. Cited in: Water &amp; Utilities Supplement.</w:t>
      </w:r>
    </w:p>
    <w:p>
      <w:pPr>
        <w:spacing w:after="140"/>
        <w:ind w:left="360"/>
      </w:pPr>
      <w:r>
        <w:rPr>
          <w:rFonts w:ascii="Arial" w:cs="Arial" w:eastAsia="Arial" w:hAnsi="Arial"/>
          <w:b/>
          <w:bCs/>
          <w:sz w:val="22"/>
          <w:szCs w:val="22"/>
        </w:rPr>
        <w:t xml:space="preserve">National Caucus of Environmental Legislators, April 2025 Analysis</w:t>
      </w:r>
      <w:r>
        <w:rPr>
          <w:rFonts w:ascii="Arial" w:cs="Arial" w:eastAsia="Arial" w:hAnsi="Arial"/>
          <w:sz w:val="22"/>
          <w:szCs w:val="22"/>
        </w:rPr>
        <w:t xml:space="preserve"> — </w:t>
      </w:r>
      <w:r>
        <w:rPr>
          <w:rFonts w:ascii="Arial" w:cs="Arial" w:eastAsia="Arial" w:hAnsi="Arial"/>
          <w:i w:val="false"/>
          <w:iCs w:val="false"/>
          <w:sz w:val="22"/>
          <w:szCs w:val="22"/>
        </w:rPr>
        <w:t xml:space="preserve">Over 60 pieces of data center legislation introduced across 22 states in 2025, most focused on ratepayer protection. Cited in: Water &amp; Utilities Supplement.</w:t>
      </w:r>
    </w:p>
    <w:p>
      <w:pPr>
        <w:spacing w:after="140"/>
        <w:ind w:left="360"/>
      </w:pPr>
      <w:r>
        <w:rPr>
          <w:rFonts w:ascii="Arial" w:cs="Arial" w:eastAsia="Arial" w:hAnsi="Arial"/>
          <w:b/>
          <w:bCs/>
          <w:sz w:val="22"/>
          <w:szCs w:val="22"/>
        </w:rPr>
        <w:t xml:space="preserve">Clean Cloud Act of 2025 (Senators Whitehouse and Fetterman)</w:t>
      </w:r>
      <w:r>
        <w:rPr>
          <w:rFonts w:ascii="Arial" w:cs="Arial" w:eastAsia="Arial" w:hAnsi="Arial"/>
          <w:sz w:val="22"/>
          <w:szCs w:val="22"/>
        </w:rPr>
        <w:t xml:space="preserve"> — </w:t>
      </w:r>
      <w:r>
        <w:rPr>
          <w:rFonts w:ascii="Arial" w:cs="Arial" w:eastAsia="Arial" w:hAnsi="Arial"/>
          <w:i w:val="false"/>
          <w:iCs w:val="false"/>
          <w:sz w:val="22"/>
          <w:szCs w:val="22"/>
        </w:rPr>
        <w:t xml:space="preserve">Federal legislation amending the Clean Air Act to set emissions standards for data center equipment and require energy consumption data collection. Cited in: Water &amp; Utilities Supplement.</w:t>
      </w:r>
    </w:p>
    <w:p>
      <w:pPr>
        <w:spacing w:after="140"/>
        <w:ind w:left="360"/>
      </w:pPr>
      <w:r>
        <w:rPr>
          <w:rFonts w:ascii="Arial" w:cs="Arial" w:eastAsia="Arial" w:hAnsi="Arial"/>
          <w:b/>
          <w:bCs/>
          <w:sz w:val="22"/>
          <w:szCs w:val="22"/>
        </w:rPr>
        <w:t xml:space="preserve">Stateline, “With electricity bills rising, some states consider new data center laws” (February 2026)</w:t>
      </w:r>
      <w:r>
        <w:rPr>
          <w:rFonts w:ascii="Arial" w:cs="Arial" w:eastAsia="Arial" w:hAnsi="Arial"/>
          <w:sz w:val="22"/>
          <w:szCs w:val="22"/>
        </w:rPr>
        <w:t xml:space="preserve"> — </w:t>
      </w:r>
      <w:r>
        <w:rPr>
          <w:rFonts w:ascii="Arial" w:cs="Arial" w:eastAsia="Arial" w:hAnsi="Arial"/>
          <w:i w:val="false"/>
          <w:iCs w:val="false"/>
          <w:sz w:val="22"/>
          <w:szCs w:val="22"/>
        </w:rPr>
        <w:t xml:space="preserve">Documents state legislative responses including Delaware higher rates, Florida new rate structures, Oklahoma moratorium, and Pennsylvania ratepayer protections. Cited in: Water &amp; Utilities Supplement.</w:t>
      </w:r>
    </w:p>
    <w:p>
      <w:pPr>
        <w:spacing w:after="200" w:before="300" w:line="300"/>
      </w:pPr>
      <w:r>
        <w:rPr>
          <w:rFonts w:ascii="Arial" w:cs="Arial" w:eastAsia="Arial" w:hAnsi="Arial"/>
          <w:b/>
          <w:bCs/>
          <w:i w:val="false"/>
          <w:iCs w:val="false"/>
          <w:color w:val="1F3864"/>
          <w:sz w:val="28"/>
          <w:szCs w:val="28"/>
        </w:rPr>
        <w:t xml:space="preserve">8. Community Survey Data</w:t>
      </w:r>
    </w:p>
    <w:p>
      <w:pPr>
        <w:spacing w:after="140"/>
        <w:ind w:left="360"/>
      </w:pPr>
      <w:r>
        <w:rPr>
          <w:rFonts w:ascii="Arial" w:cs="Arial" w:eastAsia="Arial" w:hAnsi="Arial"/>
          <w:b/>
          <w:bCs/>
          <w:sz w:val="22"/>
          <w:szCs w:val="22"/>
        </w:rPr>
        <w:t xml:space="preserve">JTown Beacon Community Survey (March 2026, 65 respondents)</w:t>
      </w:r>
      <w:r>
        <w:rPr>
          <w:rFonts w:ascii="Arial" w:cs="Arial" w:eastAsia="Arial" w:hAnsi="Arial"/>
          <w:sz w:val="22"/>
          <w:szCs w:val="22"/>
        </w:rPr>
        <w:t xml:space="preserve"> — </w:t>
      </w:r>
      <w:r>
        <w:rPr>
          <w:rFonts w:ascii="Arial" w:cs="Arial" w:eastAsia="Arial" w:hAnsi="Arial"/>
          <w:i w:val="false"/>
          <w:iCs w:val="false"/>
          <w:sz w:val="22"/>
          <w:szCs w:val="22"/>
        </w:rPr>
        <w:t xml:space="preserve">A ten-question community survey conducted by the JTown Beacon measuring Jerome County residents’ positions on energy siting, agricultural preservation, notification requirements, decommissioning, and regulatory adequacy. Key findings: 93.8% rate agricultural land preservation as important or extremely important (Q1); 93.7% oppose allowing large-scale energy development in agricultural zones (Q3); 49.2% support small-scale on-site systems in ag zones while 29.2% oppose (Q4); 92.3% are concerned about BESS safety risks (Q5, 83.1% very concerned); 80% say current guidelines are not strict enough (Q6); 90.8% support county-wide notification for all proposed energy and data center projects (Q7); 90.8% rate decommissioning financial assurance as extremely important (Q8); 87.7% say energy development should be limited to protect farmland and rural character (Q9); 80% say the current approach needs significant revision (Q10). Cited in: Response to P&amp;Z, Position Paper, Chapter 7, Chapter 10, Chapter 11, Guide.</w:t>
      </w:r>
    </w:p>
    <w:p>
      <w:pPr>
        <w:spacing w:after="200" w:before="300" w:line="300"/>
      </w:pPr>
      <w:r>
        <w:rPr>
          <w:rFonts w:ascii="Arial" w:cs="Arial" w:eastAsia="Arial" w:hAnsi="Arial"/>
          <w:b/>
          <w:bCs/>
          <w:i w:val="false"/>
          <w:iCs w:val="false"/>
          <w:color w:val="1F3864"/>
          <w:sz w:val="28"/>
          <w:szCs w:val="28"/>
        </w:rPr>
        <w:t xml:space="preserve">9. National Public Opinion and Opposition Data</w:t>
      </w:r>
    </w:p>
    <w:p>
      <w:pPr>
        <w:spacing w:after="140"/>
        <w:ind w:left="360"/>
      </w:pPr>
      <w:r>
        <w:rPr>
          <w:rFonts w:ascii="Arial" w:cs="Arial" w:eastAsia="Arial" w:hAnsi="Arial"/>
          <w:b/>
          <w:bCs/>
          <w:sz w:val="22"/>
          <w:szCs w:val="22"/>
        </w:rPr>
        <w:t xml:space="preserve">Pew Research Center, “Americans’ Views on Local Wind and Solar Power Development” (June 27, 2024)</w:t>
      </w:r>
      <w:r>
        <w:rPr>
          <w:rFonts w:ascii="Arial" w:cs="Arial" w:eastAsia="Arial" w:hAnsi="Arial"/>
          <w:sz w:val="22"/>
          <w:szCs w:val="22"/>
        </w:rPr>
        <w:t xml:space="preserve"> — </w:t>
      </w:r>
      <w:r>
        <w:rPr>
          <w:rFonts w:ascii="Arial" w:cs="Arial" w:eastAsia="Arial" w:hAnsi="Arial"/>
          <w:i w:val="false"/>
          <w:iCs w:val="false"/>
          <w:sz w:val="22"/>
          <w:szCs w:val="22"/>
        </w:rPr>
        <w:t xml:space="preserve">About half of rural residents say a solar panel farm would make their landscape ugly (compared to 37% of urban residents). Only 35% of rural residents believe a local solar farm would lower their electricity prices (vs. 51% urban). Documents the rural-urban divide in solar/wind attitudes. Cited in: Survey &amp; Public Opinion Supplement.</w:t>
      </w:r>
    </w:p>
    <w:p>
      <w:pPr>
        <w:spacing w:after="140"/>
        <w:ind w:left="360"/>
      </w:pPr>
      <w:r>
        <w:rPr>
          <w:rFonts w:ascii="Arial" w:cs="Arial" w:eastAsia="Arial" w:hAnsi="Arial"/>
          <w:b/>
          <w:bCs/>
          <w:sz w:val="22"/>
          <w:szCs w:val="22"/>
        </w:rPr>
        <w:t xml:space="preserve">AP-NORC Poll, “Support for solar energy and offshore wind falls” (June 2025)</w:t>
      </w:r>
      <w:r>
        <w:rPr>
          <w:rFonts w:ascii="Arial" w:cs="Arial" w:eastAsia="Arial" w:hAnsi="Arial"/>
          <w:sz w:val="22"/>
          <w:szCs w:val="22"/>
        </w:rPr>
        <w:t xml:space="preserve"> — </w:t>
      </w:r>
      <w:r>
        <w:rPr>
          <w:rFonts w:ascii="Arial" w:cs="Arial" w:eastAsia="Arial" w:hAnsi="Arial"/>
          <w:i w:val="false"/>
          <w:iCs w:val="false"/>
          <w:sz w:val="22"/>
          <w:szCs w:val="22"/>
        </w:rPr>
        <w:t xml:space="preserve">Fewer than half of U.S. adults (44%) now support expanding offshore wind farms, down from 59% in 2022. About half favor expanding solar panel farms, down from approximately two-thirds in 2022. Documents the significant national decline in renewable energy support. Cited in: Survey &amp; Public Opinion Supplement.</w:t>
      </w:r>
    </w:p>
    <w:p>
      <w:pPr>
        <w:spacing w:after="140"/>
        <w:ind w:left="360"/>
      </w:pPr>
      <w:r>
        <w:rPr>
          <w:rFonts w:ascii="Arial" w:cs="Arial" w:eastAsia="Arial" w:hAnsi="Arial"/>
          <w:b/>
          <w:bCs/>
          <w:sz w:val="22"/>
          <w:szCs w:val="22"/>
        </w:rPr>
        <w:t xml:space="preserve">Just The News, “Rural communities fought wind and solar developments in 2024” (2024)</w:t>
      </w:r>
      <w:r>
        <w:rPr>
          <w:rFonts w:ascii="Arial" w:cs="Arial" w:eastAsia="Arial" w:hAnsi="Arial"/>
          <w:sz w:val="22"/>
          <w:szCs w:val="22"/>
        </w:rPr>
        <w:t xml:space="preserve"> — </w:t>
      </w:r>
      <w:r>
        <w:rPr>
          <w:rFonts w:ascii="Arial" w:cs="Arial" w:eastAsia="Arial" w:hAnsi="Arial"/>
          <w:i w:val="false"/>
          <w:iCs w:val="false"/>
          <w:sz w:val="22"/>
          <w:szCs w:val="22"/>
        </w:rPr>
        <w:t xml:space="preserve">117 renewable energy projects were rejected nationwide in 2024—including 39 wind projects and 78 solar projects. Rejections concentrate heavily in rural agricultural communities. Cited in: Survey &amp; Public Opinion Supplement.</w:t>
      </w:r>
    </w:p>
    <w:p>
      <w:pPr>
        <w:spacing w:after="140"/>
        <w:ind w:left="360"/>
      </w:pPr>
      <w:r>
        <w:rPr>
          <w:rFonts w:ascii="Arial" w:cs="Arial" w:eastAsia="Arial" w:hAnsi="Arial"/>
          <w:b/>
          <w:bCs/>
          <w:sz w:val="22"/>
          <w:szCs w:val="22"/>
        </w:rPr>
        <w:t xml:space="preserve">Data Center Watch, “$64 billion of data center projects blocked or delayed amid local opposition” (2025–2026 tracking)</w:t>
      </w:r>
      <w:r>
        <w:rPr>
          <w:rFonts w:ascii="Arial" w:cs="Arial" w:eastAsia="Arial" w:hAnsi="Arial"/>
          <w:sz w:val="22"/>
          <w:szCs w:val="22"/>
        </w:rPr>
        <w:t xml:space="preserve"> — </w:t>
      </w:r>
      <w:r>
        <w:rPr>
          <w:rFonts w:ascii="Arial" w:cs="Arial" w:eastAsia="Arial" w:hAnsi="Arial"/>
          <w:i w:val="false"/>
          <w:iCs w:val="false"/>
          <w:sz w:val="22"/>
          <w:szCs w:val="22"/>
        </w:rPr>
        <w:t xml:space="preserve">$64 billion in data center projects have been blocked or delayed by community opposition since mid-2024. Cancellations accelerated from 2 projects in 2023 to 25 in 2025. At least 188 organized opposition groups span 40 states. Lawmakers in 14+ states have enacted or proposed moratoriums. Water use is the primary concern (40%+ of contested projects). Cited in: Survey &amp; Public Opinion Supplement.</w:t>
      </w:r>
    </w:p>
    <w:p>
      <w:pPr>
        <w:spacing w:after="140"/>
        <w:ind w:left="360"/>
      </w:pPr>
      <w:r>
        <w:rPr>
          <w:rFonts w:ascii="Arial" w:cs="Arial" w:eastAsia="Arial" w:hAnsi="Arial"/>
          <w:b/>
          <w:bCs/>
          <w:sz w:val="22"/>
          <w:szCs w:val="22"/>
        </w:rPr>
        <w:t xml:space="preserve">TechPolicy.Press, “The Real Race for an AI Moratorium: Stopping Data Centers” (2025)</w:t>
      </w:r>
      <w:r>
        <w:rPr>
          <w:rFonts w:ascii="Arial" w:cs="Arial" w:eastAsia="Arial" w:hAnsi="Arial"/>
          <w:sz w:val="22"/>
          <w:szCs w:val="22"/>
        </w:rPr>
        <w:t xml:space="preserve"> — </w:t>
      </w:r>
      <w:r>
        <w:rPr>
          <w:rFonts w:ascii="Arial" w:cs="Arial" w:eastAsia="Arial" w:hAnsi="Arial"/>
          <w:i w:val="false"/>
          <w:iCs w:val="false"/>
          <w:sz w:val="22"/>
          <w:szCs w:val="22"/>
        </w:rPr>
        <w:t xml:space="preserve">Documents the scale and bipartisan nature of data center opposition. Republican officials raise concerns about tax incentives and grid strain; Democrats focus on environmental impacts and resource consumption. Cited in: Survey &amp; Public Opinion Supplement.</w:t>
      </w:r>
    </w:p>
    <w:p>
      <w:pPr>
        <w:spacing w:after="140"/>
        <w:ind w:left="360"/>
      </w:pPr>
      <w:r>
        <w:rPr>
          <w:rFonts w:ascii="Arial" w:cs="Arial" w:eastAsia="Arial" w:hAnsi="Arial"/>
          <w:b/>
          <w:bCs/>
          <w:sz w:val="22"/>
          <w:szCs w:val="22"/>
        </w:rPr>
        <w:t xml:space="preserve">Daily Yonder / Maine Morning Star, “As Data Centers Look to Rural New England, Maine Considers a Moratorium” (February 23, 2026)</w:t>
      </w:r>
      <w:r>
        <w:rPr>
          <w:rFonts w:ascii="Arial" w:cs="Arial" w:eastAsia="Arial" w:hAnsi="Arial"/>
          <w:sz w:val="22"/>
          <w:szCs w:val="22"/>
        </w:rPr>
        <w:t xml:space="preserve"> — </w:t>
      </w:r>
      <w:r>
        <w:rPr>
          <w:rFonts w:ascii="Arial" w:cs="Arial" w:eastAsia="Arial" w:hAnsi="Arial"/>
          <w:i w:val="false"/>
          <w:iCs w:val="false"/>
          <w:sz w:val="22"/>
          <w:szCs w:val="22"/>
        </w:rPr>
        <w:t xml:space="preserve">Maine legislature considering moratorium on data centers above 20 MW until July 2028. Documents rural New England opposition pattern. Cited in: Survey &amp; Public Opinion Supplement.</w:t>
      </w:r>
    </w:p>
    <w:p>
      <w:pPr>
        <w:spacing w:after="140"/>
        <w:ind w:left="360"/>
      </w:pPr>
      <w:r>
        <w:rPr>
          <w:rFonts w:ascii="Arial" w:cs="Arial" w:eastAsia="Arial" w:hAnsi="Arial"/>
          <w:b/>
          <w:bCs/>
          <w:sz w:val="22"/>
          <w:szCs w:val="22"/>
        </w:rPr>
        <w:t xml:space="preserve">Signal Ohio, “Ohio’s data center boom is running into political resistance” (2025)</w:t>
      </w:r>
      <w:r>
        <w:rPr>
          <w:rFonts w:ascii="Arial" w:cs="Arial" w:eastAsia="Arial" w:hAnsi="Arial"/>
          <w:sz w:val="22"/>
          <w:szCs w:val="22"/>
        </w:rPr>
        <w:t xml:space="preserve"> — </w:t>
      </w:r>
      <w:r>
        <w:rPr>
          <w:rFonts w:ascii="Arial" w:cs="Arial" w:eastAsia="Arial" w:hAnsi="Arial"/>
          <w:i w:val="false"/>
          <w:iCs w:val="false"/>
          <w:sz w:val="22"/>
          <w:szCs w:val="22"/>
        </w:rPr>
        <w:t xml:space="preserve">Multiple local moratoriums in Ohio (Lordstown, Washington Township) amid packed public meetings and referendum threats. Cited in: Survey &amp; Public Opinion Supplement.</w:t>
      </w:r>
    </w:p>
    <w:p>
      <w:pPr>
        <w:spacing w:after="140"/>
        <w:ind w:left="360"/>
      </w:pPr>
      <w:r>
        <w:rPr>
          <w:rFonts w:ascii="Arial" w:cs="Arial" w:eastAsia="Arial" w:hAnsi="Arial"/>
          <w:b/>
          <w:bCs/>
          <w:sz w:val="22"/>
          <w:szCs w:val="22"/>
        </w:rPr>
        <w:t xml:space="preserve">Carbon Credits, “Environmental Groups Urge U.S. Congress to Pause Data Center Growth” (2025)</w:t>
      </w:r>
      <w:r>
        <w:rPr>
          <w:rFonts w:ascii="Arial" w:cs="Arial" w:eastAsia="Arial" w:hAnsi="Arial"/>
          <w:sz w:val="22"/>
          <w:szCs w:val="22"/>
        </w:rPr>
        <w:t xml:space="preserve"> — </w:t>
      </w:r>
      <w:r>
        <w:rPr>
          <w:rFonts w:ascii="Arial" w:cs="Arial" w:eastAsia="Arial" w:hAnsi="Arial"/>
          <w:i w:val="false"/>
          <w:iCs w:val="false"/>
          <w:sz w:val="22"/>
          <w:szCs w:val="22"/>
        </w:rPr>
        <w:t xml:space="preserve">230+ environmental and public-interest groups asked Congress to halt approvals for new data centers until federal rules address energy use, water needs, local impacts, and emissions. Cited in: Survey &amp; Public Opinion Supplement.</w:t>
      </w:r>
    </w:p>
    <w:p>
      <w:pPr>
        <w:spacing w:after="200" w:before="300" w:line="300"/>
      </w:pPr>
      <w:r>
        <w:rPr>
          <w:rFonts w:ascii="Arial" w:cs="Arial" w:eastAsia="Arial" w:hAnsi="Arial"/>
          <w:b/>
          <w:bCs/>
          <w:i w:val="false"/>
          <w:iCs w:val="false"/>
          <w:color w:val="1F3864"/>
          <w:sz w:val="28"/>
          <w:szCs w:val="28"/>
        </w:rPr>
        <w:t xml:space="preserve">10. Data Center Crisis, AI Bubble, and Infrastructure Risk</w:t>
      </w:r>
    </w:p>
    <w:p>
      <w:pPr>
        <w:spacing w:after="140"/>
        <w:ind w:left="360"/>
      </w:pPr>
      <w:r>
        <w:rPr>
          <w:rFonts w:ascii="Arial" w:cs="Arial" w:eastAsia="Arial" w:hAnsi="Arial"/>
          <w:b/>
          <w:bCs/>
          <w:sz w:val="22"/>
          <w:szCs w:val="22"/>
        </w:rPr>
        <w:t xml:space="preserve">Goldman Sachs, "Why AI Companies May Invest More than $500 Billion in 2026" (2026)</w:t>
      </w:r>
      <w:r>
        <w:rPr>
          <w:rFonts w:ascii="Arial" w:cs="Arial" w:eastAsia="Arial" w:hAnsi="Arial"/>
          <w:sz w:val="22"/>
          <w:szCs w:val="22"/>
        </w:rPr>
        <w:t xml:space="preserve"> — </w:t>
      </w:r>
      <w:r>
        <w:rPr>
          <w:rFonts w:ascii="Arial" w:cs="Arial" w:eastAsia="Arial" w:hAnsi="Arial"/>
          <w:i w:val="false"/>
          <w:iCs w:val="false"/>
          <w:sz w:val="22"/>
          <w:szCs w:val="22"/>
        </w:rPr>
        <w:t xml:space="preserve">Projects $700 billion in AI buildout spending by four hyperscalers in 2026. CEO David Solomon acknowledged expectation that "a lot of capital deployed won’t deliver returns." Cited in: Data Center Crisis Position Paper.</w:t>
      </w:r>
    </w:p>
    <w:p>
      <w:pPr>
        <w:spacing w:after="140"/>
        <w:ind w:left="360"/>
      </w:pPr>
      <w:r>
        <w:rPr>
          <w:rFonts w:ascii="Arial" w:cs="Arial" w:eastAsia="Arial" w:hAnsi="Arial"/>
          <w:b/>
          <w:bCs/>
          <w:sz w:val="22"/>
          <w:szCs w:val="22"/>
        </w:rPr>
        <w:t xml:space="preserve">Fortune / Goldman Sachs, "Middle-class Americans are paying for the data center and AI boom" (February 13, 2026)</w:t>
      </w:r>
      <w:r>
        <w:rPr>
          <w:rFonts w:ascii="Arial" w:cs="Arial" w:eastAsia="Arial" w:hAnsi="Arial"/>
          <w:sz w:val="22"/>
          <w:szCs w:val="22"/>
        </w:rPr>
        <w:t xml:space="preserve"> — </w:t>
      </w:r>
      <w:r>
        <w:rPr>
          <w:rFonts w:ascii="Arial" w:cs="Arial" w:eastAsia="Arial" w:hAnsi="Arial"/>
          <w:i w:val="false"/>
          <w:iCs w:val="false"/>
          <w:sz w:val="22"/>
          <w:szCs w:val="22"/>
        </w:rPr>
        <w:t xml:space="preserve">Electricity prices surged nearly 7% in 2025. Utilities requested record $31 billion in rate increases (double 2024). Goldman projects 6% consumer electricity inflation 2026–2027, 0.2% drag on consumer spending, 0.1% drag on GDP. Cited in: Data Center Crisis Position Paper.</w:t>
      </w:r>
    </w:p>
    <w:p>
      <w:pPr>
        <w:spacing w:after="140"/>
        <w:ind w:left="360"/>
      </w:pPr>
      <w:r>
        <w:rPr>
          <w:rFonts w:ascii="Arial" w:cs="Arial" w:eastAsia="Arial" w:hAnsi="Arial"/>
          <w:b/>
          <w:bCs/>
          <w:sz w:val="22"/>
          <w:szCs w:val="22"/>
        </w:rPr>
        <w:t xml:space="preserve">Yale School of Management, "This Is How the AI Bubble Bursts" (2025)</w:t>
      </w:r>
      <w:r>
        <w:rPr>
          <w:rFonts w:ascii="Arial" w:cs="Arial" w:eastAsia="Arial" w:hAnsi="Arial"/>
          <w:sz w:val="22"/>
          <w:szCs w:val="22"/>
        </w:rPr>
        <w:t xml:space="preserve"> — </w:t>
      </w:r>
      <w:r>
        <w:rPr>
          <w:rFonts w:ascii="Arial" w:cs="Arial" w:eastAsia="Arial" w:hAnsi="Arial"/>
          <w:i w:val="false"/>
          <w:iCs w:val="false"/>
          <w:sz w:val="22"/>
          <w:szCs w:val="22"/>
        </w:rPr>
        <w:t xml:space="preserve">Identifies three collapse mechanisms: concentration contagion, governance failures, and disruptive substitutions. 95% of organizations achieved zero ROI on GenAI. AI stocks represent 75% of S&amp;P 500 returns since November 2022. 40% of CEOs believe correction is imminent. Cited in: Data Center Crisis Position Paper.</w:t>
      </w:r>
    </w:p>
    <w:p>
      <w:pPr>
        <w:spacing w:after="140"/>
        <w:ind w:left="360"/>
      </w:pPr>
      <w:r>
        <w:rPr>
          <w:rFonts w:ascii="Arial" w:cs="Arial" w:eastAsia="Arial" w:hAnsi="Arial"/>
          <w:b/>
          <w:bCs/>
          <w:sz w:val="22"/>
          <w:szCs w:val="22"/>
        </w:rPr>
        <w:t xml:space="preserve">Sightline Climate, "Data Center Outlook: Half of 2026 Pipeline May Not Materialize" (2026)</w:t>
      </w:r>
      <w:r>
        <w:rPr>
          <w:rFonts w:ascii="Arial" w:cs="Arial" w:eastAsia="Arial" w:hAnsi="Arial"/>
          <w:sz w:val="22"/>
          <w:szCs w:val="22"/>
        </w:rPr>
        <w:t xml:space="preserve"> — </w:t>
      </w:r>
      <w:r>
        <w:rPr>
          <w:rFonts w:ascii="Arial" w:cs="Arial" w:eastAsia="Arial" w:hAnsi="Arial"/>
          <w:i w:val="false"/>
          <w:iCs w:val="false"/>
          <w:sz w:val="22"/>
          <w:szCs w:val="22"/>
        </w:rPr>
        <w:t xml:space="preserve">Tracking 190 GW across 777 large data centers announced since 2024. 30–50% of 2026 pipeline unlikely to come online. Up to 11 GW shows no signs of construction. Cited in: Data Center Crisis Position Paper.</w:t>
      </w:r>
    </w:p>
    <w:p>
      <w:pPr>
        <w:spacing w:after="140"/>
        <w:ind w:left="360"/>
      </w:pPr>
      <w:r>
        <w:rPr>
          <w:rFonts w:ascii="Arial" w:cs="Arial" w:eastAsia="Arial" w:hAnsi="Arial"/>
          <w:b/>
          <w:bCs/>
          <w:sz w:val="22"/>
          <w:szCs w:val="22"/>
        </w:rPr>
        <w:t xml:space="preserve">EPRI, Data Center Electricity Consumption Projections (2025–2026)</w:t>
      </w:r>
      <w:r>
        <w:rPr>
          <w:rFonts w:ascii="Arial" w:cs="Arial" w:eastAsia="Arial" w:hAnsi="Arial"/>
          <w:sz w:val="22"/>
          <w:szCs w:val="22"/>
        </w:rPr>
        <w:t xml:space="preserve"> — </w:t>
      </w:r>
      <w:r>
        <w:rPr>
          <w:rFonts w:ascii="Arial" w:cs="Arial" w:eastAsia="Arial" w:hAnsi="Arial"/>
          <w:i w:val="false"/>
          <w:iCs w:val="false"/>
          <w:sz w:val="22"/>
          <w:szCs w:val="22"/>
        </w:rPr>
        <w:t xml:space="preserve">Data centers could account for 9–17% of total U.S. electricity by 2030, up from 4.4%. Current draw approximately 41 GW—a 150% increase over five years. Cited in: Data Center Crisis Position Paper.</w:t>
      </w:r>
    </w:p>
    <w:p>
      <w:pPr>
        <w:spacing w:after="140"/>
        <w:ind w:left="360"/>
      </w:pPr>
      <w:r>
        <w:rPr>
          <w:rFonts w:ascii="Arial" w:cs="Arial" w:eastAsia="Arial" w:hAnsi="Arial"/>
          <w:b/>
          <w:bCs/>
          <w:sz w:val="22"/>
          <w:szCs w:val="22"/>
        </w:rPr>
        <w:t xml:space="preserve">Jeff A. Pierson, "The AI/Data Center Bubble," JTown Beacon (November 22, 2025)</w:t>
      </w:r>
      <w:r>
        <w:rPr>
          <w:rFonts w:ascii="Arial" w:cs="Arial" w:eastAsia="Arial" w:hAnsi="Arial"/>
          <w:sz w:val="22"/>
          <w:szCs w:val="22"/>
        </w:rPr>
        <w:t xml:space="preserve"> — </w:t>
      </w:r>
      <w:r>
        <w:rPr>
          <w:rFonts w:ascii="Arial" w:cs="Arial" w:eastAsia="Arial" w:hAnsi="Arial"/>
          <w:i w:val="false"/>
          <w:iCs w:val="false"/>
          <w:sz w:val="22"/>
          <w:szCs w:val="22"/>
        </w:rPr>
        <w:t xml:space="preserve">Documents six defining traits of the data center bubble: overbuilding, speculative capital, resource extraction, techno-utopian marketing, hollow applications, and stranded asset risk. 12 MW facility = ~20 jobs; public cost per job exceeds $1–2M. Cited in: Data Center Crisis Position Paper.</w:t>
      </w:r>
    </w:p>
    <w:p>
      <w:pPr>
        <w:spacing w:after="140"/>
        <w:ind w:left="360"/>
      </w:pPr>
      <w:r>
        <w:rPr>
          <w:rFonts w:ascii="Arial" w:cs="Arial" w:eastAsia="Arial" w:hAnsi="Arial"/>
          <w:b/>
          <w:bCs/>
          <w:sz w:val="22"/>
          <w:szCs w:val="22"/>
        </w:rPr>
        <w:t xml:space="preserve">NPR, "Here’s why concerns about an AI bubble are bigger than ever" (November 2025)</w:t>
      </w:r>
      <w:r>
        <w:rPr>
          <w:rFonts w:ascii="Arial" w:cs="Arial" w:eastAsia="Arial" w:hAnsi="Arial"/>
          <w:sz w:val="22"/>
          <w:szCs w:val="22"/>
        </w:rPr>
        <w:t xml:space="preserve"> — </w:t>
      </w:r>
      <w:r>
        <w:rPr>
          <w:rFonts w:ascii="Arial" w:cs="Arial" w:eastAsia="Arial" w:hAnsi="Arial"/>
          <w:i w:val="false"/>
          <w:iCs w:val="false"/>
          <w:sz w:val="22"/>
          <w:szCs w:val="22"/>
        </w:rPr>
        <w:t xml:space="preserve">Documents industry leader acknowledgments of bubble risk (Bezos, Altman). AI capex surpassed consumer spending as primary GDP growth driver. Cited in: Data Center Crisis Position Paper.</w:t>
      </w:r>
    </w:p>
    <w:p>
      <w:pPr>
        <w:spacing w:after="140"/>
        <w:ind w:left="360"/>
      </w:pPr>
      <w:r>
        <w:rPr>
          <w:rFonts w:ascii="Arial" w:cs="Arial" w:eastAsia="Arial" w:hAnsi="Arial"/>
          <w:b/>
          <w:bCs/>
          <w:sz w:val="22"/>
          <w:szCs w:val="22"/>
        </w:rPr>
        <w:t xml:space="preserve">MediaJustice, Data Center Energy Impact Study (2025)</w:t>
      </w:r>
      <w:r>
        <w:rPr>
          <w:rFonts w:ascii="Arial" w:cs="Arial" w:eastAsia="Arial" w:hAnsi="Arial"/>
          <w:sz w:val="22"/>
          <w:szCs w:val="22"/>
        </w:rPr>
        <w:t xml:space="preserve"> — </w:t>
      </w:r>
      <w:r>
        <w:rPr>
          <w:rFonts w:ascii="Arial" w:cs="Arial" w:eastAsia="Arial" w:hAnsi="Arial"/>
          <w:i w:val="false"/>
          <w:iCs w:val="false"/>
          <w:sz w:val="22"/>
          <w:szCs w:val="22"/>
        </w:rPr>
        <w:t xml:space="preserve">In South Carolina, data centers account for 65–70% of all new energy usage. Communities in the South disproportionately affected. Rural farming communities and communities of color impacted most. Cited in: Data Center Crisis Position Paper.</w:t>
      </w:r>
    </w:p>
    <w:p>
      <w:pPr>
        <w:spacing w:after="200" w:before="300" w:line="300"/>
      </w:pPr>
      <w:r>
        <w:rPr>
          <w:rFonts w:ascii="Arial" w:cs="Arial" w:eastAsia="Arial" w:hAnsi="Arial"/>
          <w:b/>
          <w:bCs/>
          <w:i w:val="false"/>
          <w:iCs w:val="false"/>
          <w:color w:val="1F3864"/>
          <w:sz w:val="28"/>
          <w:szCs w:val="28"/>
        </w:rPr>
        <w:t xml:space="preserve">11. Natural Law, Legal Philosophy, and Constitutional Foundations</w:t>
      </w:r>
    </w:p>
    <w:p>
      <w:pPr>
        <w:spacing w:after="140"/>
        <w:ind w:left="360"/>
      </w:pPr>
      <w:r>
        <w:rPr>
          <w:rFonts w:ascii="Arial" w:cs="Arial" w:eastAsia="Arial" w:hAnsi="Arial"/>
          <w:b/>
          <w:bCs/>
          <w:sz w:val="22"/>
          <w:szCs w:val="22"/>
        </w:rPr>
        <w:t xml:space="preserve">John Locke, Second Treatise of Government (1689)</w:t>
      </w:r>
      <w:r>
        <w:rPr>
          <w:rFonts w:ascii="Arial" w:cs="Arial" w:eastAsia="Arial" w:hAnsi="Arial"/>
          <w:sz w:val="22"/>
          <w:szCs w:val="22"/>
        </w:rPr>
        <w:t xml:space="preserve"> — </w:t>
      </w:r>
      <w:r>
        <w:rPr>
          <w:rFonts w:ascii="Arial" w:cs="Arial" w:eastAsia="Arial" w:hAnsi="Arial"/>
          <w:i w:val="false"/>
          <w:iCs w:val="false"/>
          <w:sz w:val="22"/>
          <w:szCs w:val="22"/>
        </w:rPr>
        <w:t xml:space="preserve">Establishes the natural law foundations of property rights, the labor theory of property, the sufficiency proviso ("enough, and as good, left in common for others"), and the principle that government exists to secure natural rights. Cited in: Legal, Ethical &amp; Moral Justification.</w:t>
      </w:r>
    </w:p>
    <w:p>
      <w:pPr>
        <w:spacing w:after="140"/>
        <w:ind w:left="360"/>
      </w:pPr>
      <w:r>
        <w:rPr>
          <w:rFonts w:ascii="Arial" w:cs="Arial" w:eastAsia="Arial" w:hAnsi="Arial"/>
          <w:b/>
          <w:bCs/>
          <w:sz w:val="22"/>
          <w:szCs w:val="22"/>
        </w:rPr>
        <w:t xml:space="preserve">Declaration of Independence (1776)</w:t>
      </w:r>
      <w:r>
        <w:rPr>
          <w:rFonts w:ascii="Arial" w:cs="Arial" w:eastAsia="Arial" w:hAnsi="Arial"/>
          <w:sz w:val="22"/>
          <w:szCs w:val="22"/>
        </w:rPr>
        <w:t xml:space="preserve"> — </w:t>
      </w:r>
      <w:r>
        <w:rPr>
          <w:rFonts w:ascii="Arial" w:cs="Arial" w:eastAsia="Arial" w:hAnsi="Arial"/>
          <w:i w:val="false"/>
          <w:iCs w:val="false"/>
          <w:sz w:val="22"/>
          <w:szCs w:val="22"/>
        </w:rPr>
        <w:t xml:space="preserve">Declares that all people "are endowed by their Creator with certain unalienable Rights" and that government exists to secure these rights. Establishes the natural law foundation of the American constitutional system. Cited in: Legal, Ethical &amp; Moral Justification.</w:t>
      </w:r>
    </w:p>
    <w:p>
      <w:pPr>
        <w:spacing w:after="140"/>
        <w:ind w:left="360"/>
      </w:pPr>
      <w:r>
        <w:rPr>
          <w:rFonts w:ascii="Arial" w:cs="Arial" w:eastAsia="Arial" w:hAnsi="Arial"/>
          <w:b/>
          <w:bCs/>
          <w:sz w:val="22"/>
          <w:szCs w:val="22"/>
        </w:rPr>
        <w:t xml:space="preserve">Palko v. Connecticut, 302 U.S. 319 (1937)</w:t>
      </w:r>
      <w:r>
        <w:rPr>
          <w:rFonts w:ascii="Arial" w:cs="Arial" w:eastAsia="Arial" w:hAnsi="Arial"/>
          <w:sz w:val="22"/>
          <w:szCs w:val="22"/>
        </w:rPr>
        <w:t xml:space="preserve"> — </w:t>
      </w:r>
      <w:r>
        <w:rPr>
          <w:rFonts w:ascii="Arial" w:cs="Arial" w:eastAsia="Arial" w:hAnsi="Arial"/>
          <w:i w:val="false"/>
          <w:iCs w:val="false"/>
          <w:sz w:val="22"/>
          <w:szCs w:val="22"/>
        </w:rPr>
        <w:t xml:space="preserve">Justice Cardozo’s articulation of "ordered liberty"—the constitutional principle that freedom exists within a framework of mutual obligation. Establishes that liberty is not the absence of all restraint but the presence of a just framework enabling all persons to exercise their rights. Cited in: Legal, Ethical &amp; Moral Justification.</w:t>
      </w:r>
    </w:p>
    <w:p>
      <w:pPr>
        <w:spacing w:after="140"/>
        <w:ind w:left="360"/>
      </w:pPr>
      <w:r>
        <w:rPr>
          <w:rFonts w:ascii="Arial" w:cs="Arial" w:eastAsia="Arial" w:hAnsi="Arial"/>
          <w:b/>
          <w:bCs/>
          <w:sz w:val="22"/>
          <w:szCs w:val="22"/>
        </w:rPr>
        <w:t xml:space="preserve">Sic Utere Tuo Ut Alienum Non Laedas (Common Law Maxim)</w:t>
      </w:r>
      <w:r>
        <w:rPr>
          <w:rFonts w:ascii="Arial" w:cs="Arial" w:eastAsia="Arial" w:hAnsi="Arial"/>
          <w:sz w:val="22"/>
          <w:szCs w:val="22"/>
        </w:rPr>
        <w:t xml:space="preserve"> — </w:t>
      </w:r>
      <w:r>
        <w:rPr>
          <w:rFonts w:ascii="Arial" w:cs="Arial" w:eastAsia="Arial" w:hAnsi="Arial"/>
          <w:i w:val="false"/>
          <w:iCs w:val="false"/>
          <w:sz w:val="22"/>
          <w:szCs w:val="22"/>
        </w:rPr>
        <w:t xml:space="preserve">Ancient legal maxim: "Use your own property so as not to harm another’s." One of the oldest principles of justice in Western legal tradition, predating the Constitution and common law. Foundation for nuisance law and land use regulation. Cited in: Legal, Ethical &amp; Moral Justification.</w:t>
      </w:r>
    </w:p>
    <w:p>
      <w:pPr>
        <w:spacing w:after="200" w:before="0" w:line="300"/>
      </w:pPr>
      <w:r>
        <w:rPr>
          <w:rFonts w:ascii="Arial" w:cs="Arial" w:eastAsia="Arial" w:hAnsi="Arial"/>
          <w:b w:val="false"/>
          <w:bCs w:val="false"/>
          <w:i w:val="false"/>
          <w:iCs w:val="false"/>
          <w:sz w:val="22"/>
          <w:szCs w:val="22"/>
        </w:rPr>
        <w:t xml:space="preserve"/>
      </w:r>
    </w:p>
    <w:p>
      <w:pPr>
        <w:pBdr>
          <w:top w:val="single" w:color="2E75B6" w:sz="4" w:space="8"/>
        </w:pBdr>
        <w:spacing w:after="100" w:before="200"/>
        <w:jc w:val="center"/>
      </w:pPr>
      <w:r>
        <w:rPr>
          <w:rFonts w:ascii="Arial" w:cs="Arial" w:eastAsia="Arial" w:hAnsi="Arial"/>
          <w:b w:val="false"/>
          <w:bCs w:val="false"/>
          <w:i/>
          <w:iCs/>
          <w:color w:val="666666"/>
          <w:sz w:val="18"/>
          <w:szCs w:val="18"/>
        </w:rPr>
        <w:t xml:space="preserve">Prepared by Jeff Pierson, Confidential Solutions LLC  |  713 East Ave C, Jerome, Idaho  |  March 2026</w:t>
      </w:r>
    </w:p>
    <w:p>
      <w:pPr>
        <w:pageBreakBefore/>
        <w:spacing w:after="120"/>
        <w:jc w:val="center"/>
      </w:pPr>
      <w:r>
        <w:rPr>
          <w:rFonts w:ascii="Arial" w:cs="Arial" w:eastAsia="Arial" w:hAnsi="Arial"/>
          <w:b/>
          <w:bCs/>
          <w:color w:val="1F3864"/>
          <w:sz w:val="24"/>
          <w:szCs w:val="24"/>
        </w:rPr>
        <w:t xml:space="preserve">DOCUMENT REVISION HISTORY</w:t>
      </w:r>
    </w:p>
    <w:p>
      <w:pPr>
        <w:spacing w:after="80"/>
        <w:jc w:val="center"/>
      </w:pPr>
      <w:r>
        <w:rPr>
          <w:rFonts w:ascii="Arial" w:cs="Arial" w:eastAsia="Arial" w:hAnsi="Arial"/>
          <w:i/>
          <w:iCs/>
          <w:color w:val="2E75B6"/>
          <w:sz w:val="20"/>
          <w:szCs w:val="20"/>
        </w:rPr>
        <w:t xml:space="preserve">Summary of Sources by Category</w:t>
      </w:r>
    </w:p>
    <w:p>
      <w:pPr>
        <w:pBdr>
          <w:bottom w:val="single" w:color="2E75B6" w:sz="4" w:space="4"/>
        </w:pBd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000"/>
        <w:gridCol w:w="5160"/>
        <w:gridCol w:w="2000"/>
      </w:tblGrid>
      <w:tr>
        <w:tc>
          <w:tcPr>
            <w:tcW w:type="dxa" w:w="12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Version</w:t>
            </w:r>
          </w:p>
        </w:tc>
        <w:tc>
          <w:tcPr>
            <w:tcW w:type="dxa" w:w="1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Date</w:t>
            </w:r>
          </w:p>
        </w:tc>
        <w:tc>
          <w:tcPr>
            <w:tcW w:type="dxa" w:w="516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Changes / Updates</w:t>
            </w:r>
          </w:p>
        </w:tc>
        <w:tc>
          <w:tcPr>
            <w:tcW w:type="dxa" w:w="2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Reviewed By</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v1</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Initial source catalog: federal agencies, peer-reviewed research, state legislation, case law, utility data</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v2</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data center sources, expanded utility/market data category</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v3</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county-level precedents, IRA citation</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v4</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Category 7 (Water Resources), Category 8 (Community Survey), HCR032 in Category 3</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v5</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22,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Category 9 (National Public Opinion), Category 10 (Data Center Crisis), Category 11 (Natural Law); revision page</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v6</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IdahoEnergy logo to footer; package expanded from 14 to 17 documents</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bl>
    <w:p>
      <w:pPr>
        <w:spacing w:after="120" w:before="200"/>
      </w:pPr>
      <w:r>
        <w:rPr>
          <w:rFonts w:ascii="Arial" w:cs="Arial" w:eastAsia="Arial" w:hAnsi="Arial"/>
          <w:b/>
          <w:bCs/>
          <w:color w:val="1F3864"/>
          <w:sz w:val="20"/>
          <w:szCs w:val="20"/>
        </w:rPr>
        <w:t xml:space="preserve">REVIEW NOTES</w:t>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75B6" w:sz="4" w:space="4"/>
      </w:pBdr>
      <w:tabs>
        <w:tab w:val="right" w:pos="9026"/>
      </w:tabs>
    </w:pPr>
    <w:r>
      <w:drawing>
        <wp:inline distT="0" distB="0" distL="0" distR="0">
          <wp:extent cx="285750" cy="304800"/>
          <wp:effectExtent t="0" r="0" b="0" l="0"/>
          <wp:docPr id="1" name="logo" descr="Idaho Energy Reform Logo" title="Idaho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304800"/>
                  </a:xfrm>
                  <a:prstGeom prst="rect">
                    <a:avLst/>
                  </a:prstGeom>
                </pic:spPr>
              </pic:pic>
            </a:graphicData>
          </a:graphic>
        </wp:inline>
      </w:drawing>
    </w:r>
    <w:r>
      <w:rPr>
        <w:rFonts w:ascii="Arial" w:cs="Arial" w:eastAsia="Arial" w:hAnsi="Arial"/>
        <w:b w:val="false"/>
        <w:bCs w:val="false"/>
        <w:i w:val="false"/>
        <w:iCs w:val="false"/>
        <w:color w:val="666666"/>
        <w:sz w:val="16"/>
        <w:szCs w:val="16"/>
      </w:rPr>
      <w:t xml:space="preserve">  Pierson — Sources Summary</w:t>
    </w:r>
    <w:r>
      <w:rPr>
        <w:rFonts w:ascii="Arial" w:cs="Arial" w:eastAsia="Arial" w:hAnsi="Arial"/>
        <w:sz w:val="16"/>
        <w:szCs w:val="16"/>
      </w:rPr>
      <w:t xml:space="preserve">	</w:t>
    </w:r>
    <w:r>
      <w:rPr>
        <w:rFonts w:ascii="Arial" w:cs="Arial" w:eastAsia="Arial" w:hAnsi="Arial"/>
        <w:b w:val="false"/>
        <w:bCs w:val="false"/>
        <w:i w:val="false"/>
        <w:iCs w:val="false"/>
        <w:color w:val="666666"/>
        <w:sz w:val="16"/>
        <w:szCs w:val="16"/>
      </w:rPr>
      <w:t xml:space="preserve">March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5B6" w:sz="4" w:space="4"/>
      </w:pBdr>
      <w:jc w:val="right"/>
    </w:pPr>
    <w:r>
      <w:rPr>
        <w:rFonts w:ascii="Arial" w:cs="Arial" w:eastAsia="Arial" w:hAnsi="Arial"/>
        <w:b w:val="false"/>
        <w:bCs w:val="false"/>
        <w:i/>
        <w:iCs/>
        <w:color w:val="666666"/>
        <w:sz w:val="16"/>
        <w:szCs w:val="16"/>
      </w:rPr>
      <w:t xml:space="preserve">JEROME COUNTY ENERGY ORDINANCE REFORM — SOURCES BY CATEGORY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9ca865e1c5a7b0148e78c60e0124e67a684ba821.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2026-03-23T07:48:04.355Z</dcterms:created>
  <dcterms:modified xsi:type="dcterms:W3CDTF">2026-03-23T07:48:04.356Z</dcterms:modified>
</cp:coreProperties>
</file>

<file path=docProps/custom.xml><?xml version="1.0" encoding="utf-8"?>
<Properties xmlns="http://schemas.openxmlformats.org/officeDocument/2006/custom-properties" xmlns:vt="http://schemas.openxmlformats.org/officeDocument/2006/docPropsVTypes"/>
</file>