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00"/>
        <w:jc w:val="center"/>
      </w:pPr>
      <w:r>
        <w:rPr>
          <w:rFonts w:ascii="Arial" w:cs="Arial" w:eastAsia="Arial" w:hAnsi="Arial"/>
          <w:b/>
          <w:bCs/>
          <w:i w:val="false"/>
          <w:iCs w:val="false"/>
          <w:color w:val="1F3864"/>
          <w:sz w:val="36"/>
          <w:szCs w:val="36"/>
        </w:rPr>
        <w:t xml:space="preserve">JEROME COUNTY ENERGY ORDINANCE REFORM</w:t>
      </w:r>
    </w:p>
    <w:p>
      <w:pPr>
        <w:spacing w:after="80" w:before="0" w:line="300"/>
        <w:jc w:val="center"/>
      </w:pPr>
      <w:r>
        <w:rPr>
          <w:rFonts w:ascii="Arial" w:cs="Arial" w:eastAsia="Arial" w:hAnsi="Arial"/>
          <w:b/>
          <w:bCs/>
          <w:i w:val="false"/>
          <w:iCs w:val="false"/>
          <w:color w:val="2E75B6"/>
          <w:sz w:val="28"/>
          <w:szCs w:val="28"/>
        </w:rPr>
        <w:t xml:space="preserve">Glossary of Definitions and Key Terms</w:t>
      </w:r>
    </w:p>
    <w:p>
      <w:pPr>
        <w:pBdr>
          <w:bottom w:val="single" w:color="2E75B6" w:sz="8" w:space="1"/>
        </w:pBdr>
        <w:spacing w:after="80"/>
        <w:jc w:val="center"/>
      </w:pPr>
    </w:p>
    <w:p>
      <w:pPr>
        <w:spacing w:after="300" w:before="0" w:line="300"/>
        <w:jc w:val="center"/>
      </w:pPr>
      <w:r>
        <w:rPr>
          <w:rFonts w:ascii="Arial" w:cs="Arial" w:eastAsia="Arial" w:hAnsi="Arial"/>
          <w:b w:val="false"/>
          <w:bCs w:val="false"/>
          <w:i/>
          <w:iCs/>
          <w:color w:val="666666"/>
          <w:sz w:val="20"/>
          <w:szCs w:val="20"/>
        </w:rPr>
        <w:t xml:space="preserve">Jeff Pierson  |  Confidential Solutions LLC  |  713 East Ave C, Jerome, Idaho  |  March 2026</w:t>
      </w:r>
    </w:p>
    <w:p>
      <w:pPr>
        <w:spacing w:after="200" w:before="300" w:line="300"/>
      </w:pPr>
      <w:r>
        <w:rPr>
          <w:rFonts w:ascii="Arial" w:cs="Arial" w:eastAsia="Arial" w:hAnsi="Arial"/>
          <w:b/>
          <w:bCs/>
          <w:i w:val="false"/>
          <w:iCs w:val="false"/>
          <w:color w:val="1F3864"/>
          <w:sz w:val="28"/>
          <w:szCs w:val="28"/>
        </w:rPr>
        <w:t xml:space="preserve">A. Land Use and Zoning Definitions</w:t>
      </w:r>
    </w:p>
    <w:p>
      <w:pPr>
        <w:spacing w:after="140" w:before="0" w:line="300"/>
      </w:pPr>
      <w:r>
        <w:rPr>
          <w:rFonts w:ascii="Arial" w:cs="Arial" w:eastAsia="Arial" w:hAnsi="Arial"/>
          <w:b/>
          <w:bCs/>
          <w:sz w:val="22"/>
          <w:szCs w:val="22"/>
        </w:rPr>
        <w:t xml:space="preserve">Conditional Use: </w:t>
      </w:r>
      <w:r>
        <w:rPr>
          <w:rFonts w:ascii="Arial" w:cs="Arial" w:eastAsia="Arial" w:hAnsi="Arial"/>
          <w:b w:val="false"/>
          <w:bCs w:val="false"/>
          <w:i w:val="false"/>
          <w:iCs w:val="false"/>
          <w:sz w:val="22"/>
          <w:szCs w:val="22"/>
        </w:rPr>
        <w:t xml:space="preserve">A use that is permitted within a zoning district only upon a finding that the use, as conditioned, is compatible with surrounding uses, consistent with the Comprehensive Plan, and meets all applicable standards of the Jerome County Zoning Ordinance. Distinguished from a permitted use (allowed by right) and a prohibited use (not allowed under any circumstances).</w:t>
      </w:r>
    </w:p>
    <w:p>
      <w:pPr>
        <w:spacing w:after="140" w:before="0" w:line="300"/>
      </w:pPr>
      <w:r>
        <w:rPr>
          <w:rFonts w:ascii="Arial" w:cs="Arial" w:eastAsia="Arial" w:hAnsi="Arial"/>
          <w:b/>
          <w:bCs/>
          <w:sz w:val="22"/>
          <w:szCs w:val="22"/>
        </w:rPr>
        <w:t xml:space="preserve">Conditional Use Permit (CUP): </w:t>
      </w:r>
      <w:r>
        <w:rPr>
          <w:rFonts w:ascii="Arial" w:cs="Arial" w:eastAsia="Arial" w:hAnsi="Arial"/>
          <w:b w:val="false"/>
          <w:bCs w:val="false"/>
          <w:i w:val="false"/>
          <w:iCs w:val="false"/>
          <w:sz w:val="22"/>
          <w:szCs w:val="22"/>
        </w:rPr>
        <w:t xml:space="preserve">A discretionary land use approval granted by the decision-making body (P&amp;Z Commission or Board of County Commissioners) authorizing a conditional use, subject to specific conditions of approval. A CUP may be denied, approved, or approved with conditions. Denial of a CUP does not constitute a taking of property.</w:t>
      </w:r>
    </w:p>
    <w:p>
      <w:pPr>
        <w:spacing w:after="140" w:before="0" w:line="300"/>
      </w:pPr>
      <w:r>
        <w:rPr>
          <w:rFonts w:ascii="Arial" w:cs="Arial" w:eastAsia="Arial" w:hAnsi="Arial"/>
          <w:b/>
          <w:bCs/>
          <w:sz w:val="22"/>
          <w:szCs w:val="22"/>
        </w:rPr>
        <w:t xml:space="preserve">Comprehensive Plan: </w:t>
      </w:r>
      <w:r>
        <w:rPr>
          <w:rFonts w:ascii="Arial" w:cs="Arial" w:eastAsia="Arial" w:hAnsi="Arial"/>
          <w:b w:val="false"/>
          <w:bCs w:val="false"/>
          <w:i w:val="false"/>
          <w:iCs w:val="false"/>
          <w:sz w:val="22"/>
          <w:szCs w:val="22"/>
        </w:rPr>
        <w:t xml:space="preserve">The long-range policy document adopted by the Board of County Commissioners under the Idaho Local Land Use Planning Act (LLUPA, Idaho Code §67-6508). All zoning ordinances must be consistent with the Comprehensive Plan. Chapter 10 (Utilities) is the relevant chapter for energy facility policy.</w:t>
      </w:r>
    </w:p>
    <w:p>
      <w:pPr>
        <w:spacing w:after="140" w:before="0" w:line="300"/>
      </w:pPr>
      <w:r>
        <w:rPr>
          <w:rFonts w:ascii="Arial" w:cs="Arial" w:eastAsia="Arial" w:hAnsi="Arial"/>
          <w:b/>
          <w:bCs/>
          <w:sz w:val="22"/>
          <w:szCs w:val="22"/>
        </w:rPr>
        <w:t xml:space="preserve">Zoning Ordinance: </w:t>
      </w:r>
      <w:r>
        <w:rPr>
          <w:rFonts w:ascii="Arial" w:cs="Arial" w:eastAsia="Arial" w:hAnsi="Arial"/>
          <w:b w:val="false"/>
          <w:bCs w:val="false"/>
          <w:i w:val="false"/>
          <w:iCs w:val="false"/>
          <w:sz w:val="22"/>
          <w:szCs w:val="22"/>
        </w:rPr>
        <w:t xml:space="preserve">The body of enforceable legal regulations implementing the Comprehensive Plan. The Jerome County Zoning Ordinance (JCZO) includes Chapter 7 (Conditional Use) and Chapter 11 (Energy Facilities and Data Centers).</w:t>
      </w:r>
    </w:p>
    <w:p>
      <w:pPr>
        <w:spacing w:after="140" w:before="0" w:line="300"/>
      </w:pPr>
      <w:r>
        <w:rPr>
          <w:rFonts w:ascii="Arial" w:cs="Arial" w:eastAsia="Arial" w:hAnsi="Arial"/>
          <w:b/>
          <w:bCs/>
          <w:sz w:val="22"/>
          <w:szCs w:val="22"/>
        </w:rPr>
        <w:t xml:space="preserve">Variance: </w:t>
      </w:r>
      <w:r>
        <w:rPr>
          <w:rFonts w:ascii="Arial" w:cs="Arial" w:eastAsia="Arial" w:hAnsi="Arial"/>
          <w:b w:val="false"/>
          <w:bCs w:val="false"/>
          <w:i w:val="false"/>
          <w:iCs w:val="false"/>
          <w:sz w:val="22"/>
          <w:szCs w:val="22"/>
        </w:rPr>
        <w:t xml:space="preserve">A limited departure from the strict application of a zoning standard, granted only upon a showing of undue hardship. A variance may not be used to override the Class I/II soil prohibition or other categorical protections.</w:t>
      </w:r>
    </w:p>
    <w:p>
      <w:pPr>
        <w:spacing w:after="140" w:before="0" w:line="300"/>
      </w:pPr>
      <w:r>
        <w:rPr>
          <w:rFonts w:ascii="Arial" w:cs="Arial" w:eastAsia="Arial" w:hAnsi="Arial"/>
          <w:b/>
          <w:bCs/>
          <w:sz w:val="22"/>
          <w:szCs w:val="22"/>
        </w:rPr>
        <w:t xml:space="preserve">Non-Participating Parcel: </w:t>
      </w:r>
      <w:r>
        <w:rPr>
          <w:rFonts w:ascii="Arial" w:cs="Arial" w:eastAsia="Arial" w:hAnsi="Arial"/>
          <w:b w:val="false"/>
          <w:bCs w:val="false"/>
          <w:i w:val="false"/>
          <w:iCs w:val="false"/>
          <w:sz w:val="22"/>
          <w:szCs w:val="22"/>
        </w:rPr>
        <w:t xml:space="preserve">Any parcel of real property that is not part of the project footprint and whose owner has not entered into a signed agreement with the applicant consenting to the project’s impacts. Non-participating parcel owners are the primary beneficiaries of the protective standards in this ordinance package.</w:t>
      </w:r>
    </w:p>
    <w:p>
      <w:pPr>
        <w:spacing w:after="140" w:before="0" w:line="300"/>
      </w:pPr>
      <w:r>
        <w:rPr>
          <w:rFonts w:ascii="Arial" w:cs="Arial" w:eastAsia="Arial" w:hAnsi="Arial"/>
          <w:b/>
          <w:bCs/>
          <w:sz w:val="22"/>
          <w:szCs w:val="22"/>
        </w:rPr>
        <w:t xml:space="preserve">General Welfare: </w:t>
      </w:r>
      <w:r>
        <w:rPr>
          <w:rFonts w:ascii="Arial" w:cs="Arial" w:eastAsia="Arial" w:hAnsi="Arial"/>
          <w:b w:val="false"/>
          <w:bCs w:val="false"/>
          <w:i w:val="false"/>
          <w:iCs w:val="false"/>
          <w:sz w:val="22"/>
          <w:szCs w:val="22"/>
        </w:rPr>
        <w:t xml:space="preserve">The collective physical, economic, social, and environmental well-being of Jerome County residents, property owners, and the broader community. Includes preservation of prime agricultural land, protection of property values, maintenance of community character, safeguarding of water resources, and protection of public health and safety.</w:t>
      </w:r>
    </w:p>
    <w:p>
      <w:pPr>
        <w:spacing w:after="140" w:before="0" w:line="300"/>
      </w:pPr>
      <w:r>
        <w:rPr>
          <w:rFonts w:ascii="Arial" w:cs="Arial" w:eastAsia="Arial" w:hAnsi="Arial"/>
          <w:b/>
          <w:bCs/>
          <w:sz w:val="22"/>
          <w:szCs w:val="22"/>
        </w:rPr>
        <w:t xml:space="preserve">Community Character: </w:t>
      </w:r>
      <w:r>
        <w:rPr>
          <w:rFonts w:ascii="Arial" w:cs="Arial" w:eastAsia="Arial" w:hAnsi="Arial"/>
          <w:b w:val="false"/>
          <w:bCs w:val="false"/>
          <w:i w:val="false"/>
          <w:iCs w:val="false"/>
          <w:sz w:val="22"/>
          <w:szCs w:val="22"/>
        </w:rPr>
        <w:t xml:space="preserve">The predominant visual, social, economic, and cultural qualities of the surrounding area as experienced by residents, landowners, and visitors, including the rural and agricultural landscape, open space, working farms, and the absence of utility-scale industrial facilities.</w:t>
      </w:r>
    </w:p>
    <w:p>
      <w:pPr>
        <w:spacing w:after="140" w:before="0" w:line="300"/>
      </w:pPr>
      <w:r>
        <w:rPr>
          <w:rFonts w:ascii="Arial" w:cs="Arial" w:eastAsia="Arial" w:hAnsi="Arial"/>
          <w:b/>
          <w:bCs/>
          <w:sz w:val="22"/>
          <w:szCs w:val="22"/>
        </w:rPr>
        <w:t xml:space="preserve">Property Value Diminishment: </w:t>
      </w:r>
      <w:r>
        <w:rPr>
          <w:rFonts w:ascii="Arial" w:cs="Arial" w:eastAsia="Arial" w:hAnsi="Arial"/>
          <w:b w:val="false"/>
          <w:bCs w:val="false"/>
          <w:i w:val="false"/>
          <w:iCs w:val="false"/>
          <w:sz w:val="22"/>
          <w:szCs w:val="22"/>
        </w:rPr>
        <w:t xml:space="preserve">Any documented or objectively demonstrated projected decrease in the market value, assessed value, or functional use value of any non-participating parcel caused by the proximity, presence, or operations of a proposed use. Under this ordinance package, property value diminishment is an independently sufficient ground for CUP denial.</w:t>
      </w:r>
    </w:p>
    <w:p>
      <w:pPr>
        <w:spacing w:after="200" w:before="300" w:line="300"/>
      </w:pPr>
      <w:r>
        <w:rPr>
          <w:rFonts w:ascii="Arial" w:cs="Arial" w:eastAsia="Arial" w:hAnsi="Arial"/>
          <w:b/>
          <w:bCs/>
          <w:i w:val="false"/>
          <w:iCs w:val="false"/>
          <w:color w:val="1F3864"/>
          <w:sz w:val="28"/>
          <w:szCs w:val="28"/>
        </w:rPr>
        <w:t xml:space="preserve">B. Energy Facility Classifications</w:t>
      </w:r>
    </w:p>
    <w:p>
      <w:pPr>
        <w:spacing w:after="140" w:before="0" w:line="300"/>
      </w:pPr>
      <w:r>
        <w:rPr>
          <w:rFonts w:ascii="Arial" w:cs="Arial" w:eastAsia="Arial" w:hAnsi="Arial"/>
          <w:b/>
          <w:bCs/>
          <w:sz w:val="22"/>
          <w:szCs w:val="22"/>
        </w:rPr>
        <w:t xml:space="preserve">Energy Facility: </w:t>
      </w:r>
      <w:r>
        <w:rPr>
          <w:rFonts w:ascii="Arial" w:cs="Arial" w:eastAsia="Arial" w:hAnsi="Arial"/>
          <w:b w:val="false"/>
          <w:bCs w:val="false"/>
          <w:i w:val="false"/>
          <w:iCs w:val="false"/>
          <w:sz w:val="22"/>
          <w:szCs w:val="22"/>
        </w:rPr>
        <w:t xml:space="preserve">Any facility designed, constructed, or operated for the purpose of generating, storing, converting, or transmitting electrical energy, including solar photovoltaic systems, wind energy conversion systems, battery energy storage systems (BESS), substations, and associated transmission infrastructure.</w:t>
      </w:r>
    </w:p>
    <w:p>
      <w:pPr>
        <w:spacing w:after="140" w:before="0" w:line="300"/>
      </w:pPr>
      <w:r>
        <w:rPr>
          <w:rFonts w:ascii="Arial" w:cs="Arial" w:eastAsia="Arial" w:hAnsi="Arial"/>
          <w:b/>
          <w:bCs/>
          <w:sz w:val="22"/>
          <w:szCs w:val="22"/>
        </w:rPr>
        <w:t xml:space="preserve">Tier 1 Energy Facility: </w:t>
      </w:r>
      <w:r>
        <w:rPr>
          <w:rFonts w:ascii="Arial" w:cs="Arial" w:eastAsia="Arial" w:hAnsi="Arial"/>
          <w:b w:val="false"/>
          <w:bCs w:val="false"/>
          <w:i w:val="false"/>
          <w:iCs w:val="false"/>
          <w:sz w:val="22"/>
          <w:szCs w:val="22"/>
        </w:rPr>
        <w:t xml:space="preserve">Small-scale, on-site energy systems: ≤50 kW nameplate capacity, ≤2 acres total footprint. Permitted through administrative review. Designed for residential, agricultural, or small commercial self-consumption.</w:t>
      </w:r>
    </w:p>
    <w:p>
      <w:pPr>
        <w:spacing w:after="140" w:before="0" w:line="300"/>
      </w:pPr>
      <w:r>
        <w:rPr>
          <w:rFonts w:ascii="Arial" w:cs="Arial" w:eastAsia="Arial" w:hAnsi="Arial"/>
          <w:b/>
          <w:bCs/>
          <w:sz w:val="22"/>
          <w:szCs w:val="22"/>
        </w:rPr>
        <w:t xml:space="preserve">Tier 2 Energy Facility: </w:t>
      </w:r>
      <w:r>
        <w:rPr>
          <w:rFonts w:ascii="Arial" w:cs="Arial" w:eastAsia="Arial" w:hAnsi="Arial"/>
          <w:b w:val="false"/>
          <w:bCs w:val="false"/>
          <w:i w:val="false"/>
          <w:iCs w:val="false"/>
          <w:sz w:val="22"/>
          <w:szCs w:val="22"/>
        </w:rPr>
        <w:t xml:space="preserve">Medium-scale commercial energy systems: 51 kW–25 MW nameplate capacity, 2–160 acres. Requires a Conditional Use Permit with standard review. Subject to all impact standards in Chapter 11, county-wide or 25-mile notification, and decommissioning bond at 150% of removal cost.</w:t>
      </w:r>
    </w:p>
    <w:p>
      <w:pPr>
        <w:spacing w:after="140" w:before="0" w:line="300"/>
      </w:pPr>
      <w:r>
        <w:rPr>
          <w:rFonts w:ascii="Arial" w:cs="Arial" w:eastAsia="Arial" w:hAnsi="Arial"/>
          <w:b/>
          <w:bCs/>
          <w:sz w:val="22"/>
          <w:szCs w:val="22"/>
        </w:rPr>
        <w:t xml:space="preserve">Tier 3 Energy Facility: </w:t>
      </w:r>
      <w:r>
        <w:rPr>
          <w:rFonts w:ascii="Arial" w:cs="Arial" w:eastAsia="Arial" w:hAnsi="Arial"/>
          <w:b w:val="false"/>
          <w:bCs w:val="false"/>
          <w:i w:val="false"/>
          <w:iCs w:val="false"/>
          <w:sz w:val="22"/>
          <w:szCs w:val="22"/>
        </w:rPr>
        <w:t xml:space="preserve">Large-scale commercial energy systems: &gt;25 MW nameplate capacity or &gt;160 acres. Requires full environmental impact assessment, two mandatory public hearings, county-wide or 25-mile notification, Board majority vote, decommissioning trust fund at 150% of removal cost, and the General Welfare No-Balancing Rule.</w:t>
      </w:r>
    </w:p>
    <w:p>
      <w:pPr>
        <w:spacing w:after="140" w:before="0" w:line="300"/>
      </w:pPr>
      <w:r>
        <w:rPr>
          <w:rFonts w:ascii="Arial" w:cs="Arial" w:eastAsia="Arial" w:hAnsi="Arial"/>
          <w:b/>
          <w:bCs/>
          <w:sz w:val="22"/>
          <w:szCs w:val="22"/>
        </w:rPr>
        <w:t xml:space="preserve">Data Center Facility: </w:t>
      </w:r>
      <w:r>
        <w:rPr>
          <w:rFonts w:ascii="Arial" w:cs="Arial" w:eastAsia="Arial" w:hAnsi="Arial"/>
          <w:b w:val="false"/>
          <w:bCs w:val="false"/>
          <w:i w:val="false"/>
          <w:iCs w:val="false"/>
          <w:sz w:val="22"/>
          <w:szCs w:val="22"/>
        </w:rPr>
        <w:t xml:space="preserve">A facility housing computing, networking, and data storage infrastructure with an aggregate electrical load of ≥1 MW or water consumption of ≥100,000 gallons per day. Subject to the same tiered classification, impact standards, notification requirements, and decommissioning provisions as energy generation facilities under Chapter 11.</w:t>
      </w:r>
    </w:p>
    <w:p>
      <w:pPr>
        <w:spacing w:after="140" w:before="0" w:line="300"/>
      </w:pPr>
      <w:r>
        <w:rPr>
          <w:rFonts w:ascii="Arial" w:cs="Arial" w:eastAsia="Arial" w:hAnsi="Arial"/>
          <w:b/>
          <w:bCs/>
          <w:sz w:val="22"/>
          <w:szCs w:val="22"/>
        </w:rPr>
        <w:t xml:space="preserve">Battery Energy Storage System (BESS): </w:t>
      </w:r>
      <w:r>
        <w:rPr>
          <w:rFonts w:ascii="Arial" w:cs="Arial" w:eastAsia="Arial" w:hAnsi="Arial"/>
          <w:b w:val="false"/>
          <w:bCs w:val="false"/>
          <w:i w:val="false"/>
          <w:iCs w:val="false"/>
          <w:sz w:val="22"/>
          <w:szCs w:val="22"/>
        </w:rPr>
        <w:t xml:space="preserve">A system designed to store electrical energy for later discharge. Includes lithium-ion, flow battery, and other electrochemical storage technologies, together with associated inverters, transformers, cooling systems, and fire suppression equipment. BESS facilities are prohibited in agricultural zones under this ordinance.</w:t>
      </w:r>
    </w:p>
    <w:p>
      <w:pPr>
        <w:spacing w:after="200" w:before="300" w:line="300"/>
      </w:pPr>
      <w:r>
        <w:rPr>
          <w:rFonts w:ascii="Arial" w:cs="Arial" w:eastAsia="Arial" w:hAnsi="Arial"/>
          <w:b/>
          <w:bCs/>
          <w:i w:val="false"/>
          <w:iCs w:val="false"/>
          <w:color w:val="1F3864"/>
          <w:sz w:val="28"/>
          <w:szCs w:val="28"/>
        </w:rPr>
        <w:t xml:space="preserve">C. Agricultural and Soil Terms</w:t>
      </w:r>
    </w:p>
    <w:p>
      <w:pPr>
        <w:spacing w:after="140" w:before="0" w:line="300"/>
      </w:pPr>
      <w:r>
        <w:rPr>
          <w:rFonts w:ascii="Arial" w:cs="Arial" w:eastAsia="Arial" w:hAnsi="Arial"/>
          <w:b/>
          <w:bCs/>
          <w:sz w:val="22"/>
          <w:szCs w:val="22"/>
        </w:rPr>
        <w:t xml:space="preserve">Class I Soil: </w:t>
      </w:r>
      <w:r>
        <w:rPr>
          <w:rFonts w:ascii="Arial" w:cs="Arial" w:eastAsia="Arial" w:hAnsi="Arial"/>
          <w:b w:val="false"/>
          <w:bCs w:val="false"/>
          <w:i w:val="false"/>
          <w:iCs w:val="false"/>
          <w:sz w:val="22"/>
          <w:szCs w:val="22"/>
        </w:rPr>
        <w:t xml:space="preserve">The highest capability classification in the USDA NRCS Land Capability Classification System. Class I soils have few limitations that restrict their use for agriculture. They are prime farmland of the highest quality. Under this ordinance, Class I soils are categorically protected from energy facility siting — no CUP, variance, or waiver may override this prohibition.</w:t>
      </w:r>
    </w:p>
    <w:p>
      <w:pPr>
        <w:spacing w:after="140" w:before="0" w:line="300"/>
      </w:pPr>
      <w:r>
        <w:rPr>
          <w:rFonts w:ascii="Arial" w:cs="Arial" w:eastAsia="Arial" w:hAnsi="Arial"/>
          <w:b/>
          <w:bCs/>
          <w:sz w:val="22"/>
          <w:szCs w:val="22"/>
        </w:rPr>
        <w:t xml:space="preserve">Class II Soil: </w:t>
      </w:r>
      <w:r>
        <w:rPr>
          <w:rFonts w:ascii="Arial" w:cs="Arial" w:eastAsia="Arial" w:hAnsi="Arial"/>
          <w:b w:val="false"/>
          <w:bCs w:val="false"/>
          <w:i w:val="false"/>
          <w:iCs w:val="false"/>
          <w:sz w:val="22"/>
          <w:szCs w:val="22"/>
        </w:rPr>
        <w:t xml:space="preserve">The second-highest capability classification. Class II soils have moderate limitations that reduce the choice of plants or require moderate conservation practices. Still considered prime farmland. Subject to the same categorical prohibition as Class I.</w:t>
      </w:r>
    </w:p>
    <w:p>
      <w:pPr>
        <w:spacing w:after="140" w:before="0" w:line="300"/>
      </w:pPr>
      <w:r>
        <w:rPr>
          <w:rFonts w:ascii="Arial" w:cs="Arial" w:eastAsia="Arial" w:hAnsi="Arial"/>
          <w:b/>
          <w:bCs/>
          <w:sz w:val="22"/>
          <w:szCs w:val="22"/>
        </w:rPr>
        <w:t xml:space="preserve">Prime Farmland: </w:t>
      </w:r>
      <w:r>
        <w:rPr>
          <w:rFonts w:ascii="Arial" w:cs="Arial" w:eastAsia="Arial" w:hAnsi="Arial"/>
          <w:b w:val="false"/>
          <w:bCs w:val="false"/>
          <w:i w:val="false"/>
          <w:iCs w:val="false"/>
          <w:sz w:val="22"/>
          <w:szCs w:val="22"/>
        </w:rPr>
        <w:t xml:space="preserve">Land that has the best combination of physical and chemical characteristics for producing food, feed, forage, fiber, and oilseed crops (USDA definition). In Jerome County, virtually all irrigated agricultural land qualifies as prime farmland.</w:t>
      </w:r>
    </w:p>
    <w:p>
      <w:pPr>
        <w:spacing w:after="140" w:before="0" w:line="300"/>
      </w:pPr>
      <w:r>
        <w:rPr>
          <w:rFonts w:ascii="Arial" w:cs="Arial" w:eastAsia="Arial" w:hAnsi="Arial"/>
          <w:b/>
          <w:bCs/>
          <w:sz w:val="22"/>
          <w:szCs w:val="22"/>
        </w:rPr>
        <w:t xml:space="preserve">Irreversible Conversion: </w:t>
      </w:r>
      <w:r>
        <w:rPr>
          <w:rFonts w:ascii="Arial" w:cs="Arial" w:eastAsia="Arial" w:hAnsi="Arial"/>
          <w:b w:val="false"/>
          <w:bCs w:val="false"/>
          <w:i w:val="false"/>
          <w:iCs w:val="false"/>
          <w:sz w:val="22"/>
          <w:szCs w:val="22"/>
        </w:rPr>
        <w:t xml:space="preserve">The permanent transformation of agricultural land to non-agricultural use, as defined by the Farmland Protection Policy Act (FPPA, 7 U.S.C. §4201). The USDA NRCS has documented six categories of soil damage from solar construction: compaction, erosion, organic matter loss, drainage alteration, contamination, and biological disruption. NC State University (2021) documents 20–40% yield loss post-decommission; Welsh Government (2023) documents recovery timescales of 18–30 years to permanent.</w:t>
      </w:r>
    </w:p>
    <w:p>
      <w:pPr>
        <w:spacing w:after="140" w:before="0" w:line="300"/>
      </w:pPr>
      <w:r>
        <w:rPr>
          <w:rFonts w:ascii="Arial" w:cs="Arial" w:eastAsia="Arial" w:hAnsi="Arial"/>
          <w:b/>
          <w:bCs/>
          <w:sz w:val="22"/>
          <w:szCs w:val="22"/>
        </w:rPr>
        <w:t xml:space="preserve">Agricultural Protection Area (APA): </w:t>
      </w:r>
      <w:r>
        <w:rPr>
          <w:rFonts w:ascii="Arial" w:cs="Arial" w:eastAsia="Arial" w:hAnsi="Arial"/>
          <w:b w:val="false"/>
          <w:bCs w:val="false"/>
          <w:i w:val="false"/>
          <w:iCs w:val="false"/>
          <w:sz w:val="22"/>
          <w:szCs w:val="22"/>
        </w:rPr>
        <w:t xml:space="preserve">A designation under the Idaho Agricultural Protection Area Act (2024), as amended by SB 1133 (signed April 1, 2025), that prohibits solar and wind energy structures on APA-designated lands. The County’s Class I/II prohibition is consistent with and complementary to this state law.</w:t>
      </w:r>
    </w:p>
    <w:p>
      <w:pPr>
        <w:spacing w:after="200" w:before="300" w:line="300"/>
      </w:pPr>
      <w:r>
        <w:rPr>
          <w:rFonts w:ascii="Arial" w:cs="Arial" w:eastAsia="Arial" w:hAnsi="Arial"/>
          <w:b/>
          <w:bCs/>
          <w:i w:val="false"/>
          <w:iCs w:val="false"/>
          <w:color w:val="1F3864"/>
          <w:sz w:val="28"/>
          <w:szCs w:val="28"/>
        </w:rPr>
        <w:t xml:space="preserve">D. Regulatory Framework Terms</w:t>
      </w:r>
    </w:p>
    <w:p>
      <w:pPr>
        <w:spacing w:after="140" w:before="0" w:line="300"/>
      </w:pPr>
      <w:r>
        <w:rPr>
          <w:rFonts w:ascii="Arial" w:cs="Arial" w:eastAsia="Arial" w:hAnsi="Arial"/>
          <w:b/>
          <w:bCs/>
          <w:sz w:val="22"/>
          <w:szCs w:val="22"/>
        </w:rPr>
        <w:t xml:space="preserve">County Siting Posture Metric (CSPM): </w:t>
      </w:r>
      <w:r>
        <w:rPr>
          <w:rFonts w:ascii="Arial" w:cs="Arial" w:eastAsia="Arial" w:hAnsi="Arial"/>
          <w:b w:val="false"/>
          <w:bCs w:val="false"/>
          <w:i w:val="false"/>
          <w:iCs w:val="false"/>
          <w:sz w:val="22"/>
          <w:szCs w:val="22"/>
        </w:rPr>
        <w:t xml:space="preserve">A 100-point structured scoring methodology assessing six dimensions critical to energy siting policy: Infrastructure Capacity, Agricultural Protection, Regulatory Capacity, Community and Plan Alignment, Economic Conditions, and Cumulative Pressure. Used to determine the appropriate regulatory posture for a county. Jerome County’s CSPM score supports a restrictive posture.</w:t>
      </w:r>
    </w:p>
    <w:p>
      <w:pPr>
        <w:spacing w:after="140" w:before="0" w:line="300"/>
      </w:pPr>
      <w:r>
        <w:rPr>
          <w:rFonts w:ascii="Arial" w:cs="Arial" w:eastAsia="Arial" w:hAnsi="Arial"/>
          <w:b/>
          <w:bCs/>
          <w:sz w:val="22"/>
          <w:szCs w:val="22"/>
        </w:rPr>
        <w:t xml:space="preserve">Anti-Circumvention / Aggregation Provision: </w:t>
      </w:r>
      <w:r>
        <w:rPr>
          <w:rFonts w:ascii="Arial" w:cs="Arial" w:eastAsia="Arial" w:hAnsi="Arial"/>
          <w:b w:val="false"/>
          <w:bCs w:val="false"/>
          <w:i w:val="false"/>
          <w:iCs w:val="false"/>
          <w:sz w:val="22"/>
          <w:szCs w:val="22"/>
        </w:rPr>
        <w:t xml:space="preserve">A regulatory mechanism preventing developers from splitting a single large project into multiple smaller applications to avoid higher-tier review. Under Section 11-9, projects by the same owner within 5 miles and 5 years that share infrastructure are aggregated as a single project for tier classification.</w:t>
      </w:r>
    </w:p>
    <w:p>
      <w:pPr>
        <w:spacing w:after="140" w:before="0" w:line="300"/>
      </w:pPr>
      <w:r>
        <w:rPr>
          <w:rFonts w:ascii="Arial" w:cs="Arial" w:eastAsia="Arial" w:hAnsi="Arial"/>
          <w:b/>
          <w:bCs/>
          <w:sz w:val="22"/>
          <w:szCs w:val="22"/>
        </w:rPr>
        <w:t xml:space="preserve">General Welfare No-Balancing Rule: </w:t>
      </w:r>
      <w:r>
        <w:rPr>
          <w:rFonts w:ascii="Arial" w:cs="Arial" w:eastAsia="Arial" w:hAnsi="Arial"/>
          <w:b w:val="false"/>
          <w:bCs w:val="false"/>
          <w:i w:val="false"/>
          <w:iCs w:val="false"/>
          <w:sz w:val="22"/>
          <w:szCs w:val="22"/>
        </w:rPr>
        <w:t xml:space="preserve">A Tier 3 decision standard providing that if any component of general welfare is adversely impacted for any non-participating landowner, the Board must deny the application. No offsetting of project benefits against individual harms is permitted. This prevents the argument that economic benefits to some justify economic harm to others.</w:t>
      </w:r>
    </w:p>
    <w:p>
      <w:pPr>
        <w:spacing w:after="140" w:before="0" w:line="300"/>
      </w:pPr>
      <w:r>
        <w:rPr>
          <w:rFonts w:ascii="Arial" w:cs="Arial" w:eastAsia="Arial" w:hAnsi="Arial"/>
          <w:b/>
          <w:bCs/>
          <w:sz w:val="22"/>
          <w:szCs w:val="22"/>
        </w:rPr>
        <w:t xml:space="preserve">Decommissioning Bond / Trust Fund: </w:t>
      </w:r>
      <w:r>
        <w:rPr>
          <w:rFonts w:ascii="Arial" w:cs="Arial" w:eastAsia="Arial" w:hAnsi="Arial"/>
          <w:b w:val="false"/>
          <w:bCs w:val="false"/>
          <w:i w:val="false"/>
          <w:iCs w:val="false"/>
          <w:sz w:val="22"/>
          <w:szCs w:val="22"/>
        </w:rPr>
        <w:t xml:space="preserve">Financial assurance instruments guaranteeing that all equipment will be removed and the site restored at no cost to the county or adjacent landowners. Required at 150% of the county-verified estimated removal and restoration cost. Tier 2 projects post a bond; Tier 3 projects establish a trust fund. Updated every 2–3 years by county-commissioned appraisal at applicant’s expense.</w:t>
      </w:r>
    </w:p>
    <w:p>
      <w:pPr>
        <w:spacing w:after="140" w:before="0" w:line="300"/>
      </w:pPr>
      <w:r>
        <w:rPr>
          <w:rFonts w:ascii="Arial" w:cs="Arial" w:eastAsia="Arial" w:hAnsi="Arial"/>
          <w:b/>
          <w:bCs/>
          <w:sz w:val="22"/>
          <w:szCs w:val="22"/>
        </w:rPr>
        <w:t xml:space="preserve">Payment-in-Lieu-of-Taxes (PILOT): </w:t>
      </w:r>
      <w:r>
        <w:rPr>
          <w:rFonts w:ascii="Arial" w:cs="Arial" w:eastAsia="Arial" w:hAnsi="Arial"/>
          <w:b w:val="false"/>
          <w:bCs w:val="false"/>
          <w:i w:val="false"/>
          <w:iCs w:val="false"/>
          <w:sz w:val="22"/>
          <w:szCs w:val="22"/>
        </w:rPr>
        <w:t xml:space="preserve">A negotiated agreement between a developer and a local government under which the developer makes fixed annual payments instead of paying standard property taxes. PILOTs typically reduce the effective tax rate by 50–90% for 10–20 years, resulting in significantly less revenue than a productive farm would generate on the same land.</w:t>
      </w:r>
    </w:p>
    <w:p>
      <w:pPr>
        <w:spacing w:after="200" w:before="300" w:line="300"/>
      </w:pPr>
      <w:r>
        <w:rPr>
          <w:rFonts w:ascii="Arial" w:cs="Arial" w:eastAsia="Arial" w:hAnsi="Arial"/>
          <w:b/>
          <w:bCs/>
          <w:i w:val="false"/>
          <w:iCs w:val="false"/>
          <w:color w:val="1F3864"/>
          <w:sz w:val="28"/>
          <w:szCs w:val="28"/>
        </w:rPr>
        <w:t xml:space="preserve">E. Notification and Public Participation</w:t>
      </w:r>
    </w:p>
    <w:p>
      <w:pPr>
        <w:spacing w:after="140" w:before="0" w:line="300"/>
      </w:pPr>
      <w:r>
        <w:rPr>
          <w:rFonts w:ascii="Arial" w:cs="Arial" w:eastAsia="Arial" w:hAnsi="Arial"/>
          <w:b/>
          <w:bCs/>
          <w:sz w:val="22"/>
          <w:szCs w:val="22"/>
        </w:rPr>
        <w:t xml:space="preserve">County-Wide Notification: </w:t>
      </w:r>
      <w:r>
        <w:rPr>
          <w:rFonts w:ascii="Arial" w:cs="Arial" w:eastAsia="Arial" w:hAnsi="Arial"/>
          <w:b w:val="false"/>
          <w:bCs w:val="false"/>
          <w:i w:val="false"/>
          <w:iCs w:val="false"/>
          <w:sz w:val="22"/>
          <w:szCs w:val="22"/>
        </w:rPr>
        <w:t xml:space="preserve">Written notice to all property owners throughout Jerome County, published notice in all newspapers of general circulation, posted notice on the County website and at the courthouse, and direct written notice to all irrigation districts, canal companies, and school districts. Required for all Tier 2 and Tier 3 energy and data center projects under the county-wide or 25-mile standard.</w:t>
      </w:r>
    </w:p>
    <w:p>
      <w:pPr>
        <w:spacing w:after="140" w:before="0" w:line="300"/>
      </w:pPr>
      <w:r>
        <w:rPr>
          <w:rFonts w:ascii="Arial" w:cs="Arial" w:eastAsia="Arial" w:hAnsi="Arial"/>
          <w:b/>
          <w:bCs/>
          <w:sz w:val="22"/>
          <w:szCs w:val="22"/>
        </w:rPr>
        <w:t xml:space="preserve">25-Mile Notification Radius: </w:t>
      </w:r>
      <w:r>
        <w:rPr>
          <w:rFonts w:ascii="Arial" w:cs="Arial" w:eastAsia="Arial" w:hAnsi="Arial"/>
          <w:b w:val="false"/>
          <w:bCs w:val="false"/>
          <w:i w:val="false"/>
          <w:iCs w:val="false"/>
          <w:sz w:val="22"/>
          <w:szCs w:val="22"/>
        </w:rPr>
        <w:t xml:space="preserve">The minimum notification distance for all Tier 2 and Tier 3 energy and data center projects. County-wide or 25-mile radius, whichever is greater. Justified by the systemic, county-wide nature of impacts: utility rate effects on all ratepayers, grid infrastructure costs socialized across all customers, groundwater depletion affecting aquifer levels county-wide, and the unprecedented scale of modern energy and data center projects that most residents do not yet fully understand.</w:t>
      </w:r>
    </w:p>
    <w:p>
      <w:pPr>
        <w:spacing w:after="140" w:before="0" w:line="300"/>
      </w:pPr>
      <w:r>
        <w:rPr>
          <w:rFonts w:ascii="Arial" w:cs="Arial" w:eastAsia="Arial" w:hAnsi="Arial"/>
          <w:b/>
          <w:bCs/>
          <w:sz w:val="22"/>
          <w:szCs w:val="22"/>
        </w:rPr>
        <w:t xml:space="preserve">Public Hearing: </w:t>
      </w:r>
      <w:r>
        <w:rPr>
          <w:rFonts w:ascii="Arial" w:cs="Arial" w:eastAsia="Arial" w:hAnsi="Arial"/>
          <w:b w:val="false"/>
          <w:bCs w:val="false"/>
          <w:i w:val="false"/>
          <w:iCs w:val="false"/>
          <w:sz w:val="22"/>
          <w:szCs w:val="22"/>
        </w:rPr>
        <w:t xml:space="preserve">A formal proceeding at which the public may present testimony and evidence for or against a proposed action. Tier 2 projects require one hearing before the P&amp;Z Commission. Tier 3 projects require two hearings: one in the project area and one at the county seat. All hearings require 21-day advance written notice.</w:t>
      </w:r>
    </w:p>
    <w:p>
      <w:pPr>
        <w:spacing w:after="140" w:before="0" w:line="300"/>
      </w:pPr>
      <w:r>
        <w:rPr>
          <w:rFonts w:ascii="Arial" w:cs="Arial" w:eastAsia="Arial" w:hAnsi="Arial"/>
          <w:b/>
          <w:bCs/>
          <w:sz w:val="22"/>
          <w:szCs w:val="22"/>
        </w:rPr>
        <w:t xml:space="preserve">Written Findings: </w:t>
      </w:r>
      <w:r>
        <w:rPr>
          <w:rFonts w:ascii="Arial" w:cs="Arial" w:eastAsia="Arial" w:hAnsi="Arial"/>
          <w:b w:val="false"/>
          <w:bCs w:val="false"/>
          <w:i w:val="false"/>
          <w:iCs w:val="false"/>
          <w:sz w:val="22"/>
          <w:szCs w:val="22"/>
        </w:rPr>
        <w:t xml:space="preserve">A formal written decision by the decision-making body specifically addressing all substantive comments and objections raised in the record and making affirmative findings on each required standard. Written findings are required for both approvals and denials and create the official record for any subsequent judicial review.</w:t>
      </w:r>
    </w:p>
    <w:p>
      <w:pPr>
        <w:spacing w:after="200" w:before="300" w:line="300"/>
      </w:pPr>
      <w:r>
        <w:rPr>
          <w:rFonts w:ascii="Arial" w:cs="Arial" w:eastAsia="Arial" w:hAnsi="Arial"/>
          <w:b/>
          <w:bCs/>
          <w:i w:val="false"/>
          <w:iCs w:val="false"/>
          <w:color w:val="1F3864"/>
          <w:sz w:val="28"/>
          <w:szCs w:val="28"/>
        </w:rPr>
        <w:t xml:space="preserve">F. Impact and Measurement Terms</w:t>
      </w:r>
    </w:p>
    <w:p>
      <w:pPr>
        <w:spacing w:after="140" w:before="0" w:line="300"/>
      </w:pPr>
      <w:r>
        <w:rPr>
          <w:rFonts w:ascii="Arial" w:cs="Arial" w:eastAsia="Arial" w:hAnsi="Arial"/>
          <w:b/>
          <w:bCs/>
          <w:sz w:val="22"/>
          <w:szCs w:val="22"/>
        </w:rPr>
        <w:t xml:space="preserve">Shadow Flicker: </w:t>
      </w:r>
      <w:r>
        <w:rPr>
          <w:rFonts w:ascii="Arial" w:cs="Arial" w:eastAsia="Arial" w:hAnsi="Arial"/>
          <w:b w:val="false"/>
          <w:bCs w:val="false"/>
          <w:i w:val="false"/>
          <w:iCs w:val="false"/>
          <w:sz w:val="22"/>
          <w:szCs w:val="22"/>
        </w:rPr>
        <w:t xml:space="preserve">The alternating pattern of light and shadow caused by rotating wind turbine blades passing between the sun and an observer. Can trigger photosensitive epilepsy, cause annoyance, and reduce property values. Measured in hours per year at receptor locations.</w:t>
      </w:r>
    </w:p>
    <w:p>
      <w:pPr>
        <w:spacing w:after="140" w:before="0" w:line="300"/>
      </w:pPr>
      <w:r>
        <w:rPr>
          <w:rFonts w:ascii="Arial" w:cs="Arial" w:eastAsia="Arial" w:hAnsi="Arial"/>
          <w:b/>
          <w:bCs/>
          <w:sz w:val="22"/>
          <w:szCs w:val="22"/>
        </w:rPr>
        <w:t xml:space="preserve">Setback: </w:t>
      </w:r>
      <w:r>
        <w:rPr>
          <w:rFonts w:ascii="Arial" w:cs="Arial" w:eastAsia="Arial" w:hAnsi="Arial"/>
          <w:b w:val="false"/>
          <w:bCs w:val="false"/>
          <w:i w:val="false"/>
          <w:iCs w:val="false"/>
          <w:sz w:val="22"/>
          <w:szCs w:val="22"/>
        </w:rPr>
        <w:t xml:space="preserve">The minimum required distance between a facility component and a property line, road, residence, water feature, or other protected feature. Setbacks are measured from the nearest point of the facility component to the nearest point of the protected feature.</w:t>
      </w:r>
    </w:p>
    <w:p>
      <w:pPr>
        <w:spacing w:after="140" w:before="0" w:line="300"/>
      </w:pPr>
      <w:r>
        <w:rPr>
          <w:rFonts w:ascii="Arial" w:cs="Arial" w:eastAsia="Arial" w:hAnsi="Arial"/>
          <w:b/>
          <w:bCs/>
          <w:sz w:val="22"/>
          <w:szCs w:val="22"/>
        </w:rPr>
        <w:t xml:space="preserve">Nameplate Capacity: </w:t>
      </w:r>
      <w:r>
        <w:rPr>
          <w:rFonts w:ascii="Arial" w:cs="Arial" w:eastAsia="Arial" w:hAnsi="Arial"/>
          <w:b w:val="false"/>
          <w:bCs w:val="false"/>
          <w:i w:val="false"/>
          <w:iCs w:val="false"/>
          <w:sz w:val="22"/>
          <w:szCs w:val="22"/>
        </w:rPr>
        <w:t xml:space="preserve">The maximum rated output of an energy generation facility under standard test conditions, measured in kilowatts (kW) or megawatts (MW). Used as the primary metric for tier classification. 1 MW = 1,000 kW.</w:t>
      </w:r>
    </w:p>
    <w:p>
      <w:pPr>
        <w:spacing w:after="140" w:before="0" w:line="300"/>
      </w:pPr>
      <w:r>
        <w:rPr>
          <w:rFonts w:ascii="Arial" w:cs="Arial" w:eastAsia="Arial" w:hAnsi="Arial"/>
          <w:b/>
          <w:bCs/>
          <w:sz w:val="22"/>
          <w:szCs w:val="22"/>
        </w:rPr>
        <w:t xml:space="preserve">dBA (A-Weighted Decibels): </w:t>
      </w:r>
      <w:r>
        <w:rPr>
          <w:rFonts w:ascii="Arial" w:cs="Arial" w:eastAsia="Arial" w:hAnsi="Arial"/>
          <w:b w:val="false"/>
          <w:bCs w:val="false"/>
          <w:i w:val="false"/>
          <w:iCs w:val="false"/>
          <w:sz w:val="22"/>
          <w:szCs w:val="22"/>
        </w:rPr>
        <w:t xml:space="preserve">A unit of sound measurement weighted to approximate human hearing sensitivity. The ordinance establishes noise limits of 35 dBA (daytime) and 30 dBA (nighttime) at the property line of non-participating parcels for Tier 3 projects.</w:t>
      </w:r>
    </w:p>
    <w:p>
      <w:pPr>
        <w:spacing w:after="140" w:before="0" w:line="300"/>
      </w:pPr>
      <w:r>
        <w:rPr>
          <w:rFonts w:ascii="Arial" w:cs="Arial" w:eastAsia="Arial" w:hAnsi="Arial"/>
          <w:b/>
          <w:bCs/>
          <w:sz w:val="22"/>
          <w:szCs w:val="22"/>
        </w:rPr>
        <w:t xml:space="preserve">Environmental Impact Assessment (EIA): </w:t>
      </w:r>
      <w:r>
        <w:rPr>
          <w:rFonts w:ascii="Arial" w:cs="Arial" w:eastAsia="Arial" w:hAnsi="Arial"/>
          <w:b w:val="false"/>
          <w:bCs w:val="false"/>
          <w:i w:val="false"/>
          <w:iCs w:val="false"/>
          <w:sz w:val="22"/>
          <w:szCs w:val="22"/>
        </w:rPr>
        <w:t xml:space="preserve">A county-commissioned, applicant-funded comprehensive study of a project’s environmental, agricultural, economic, and community impacts. Required for all Tier 3 projects. Must address soil, water, noise, visual, traffic, property value, wildlife, and cumulative impacts.</w:t>
      </w:r>
    </w:p>
    <w:p>
      <w:pPr>
        <w:spacing w:after="200" w:before="300" w:line="300"/>
      </w:pPr>
      <w:r>
        <w:rPr>
          <w:rFonts w:ascii="Arial" w:cs="Arial" w:eastAsia="Arial" w:hAnsi="Arial"/>
          <w:b/>
          <w:bCs/>
          <w:i w:val="false"/>
          <w:iCs w:val="false"/>
          <w:color w:val="1F3864"/>
          <w:sz w:val="28"/>
          <w:szCs w:val="28"/>
        </w:rPr>
        <w:t xml:space="preserve">G. Legal and Constitutional Terms</w:t>
      </w:r>
    </w:p>
    <w:p>
      <w:pPr>
        <w:spacing w:after="140" w:before="0" w:line="300"/>
      </w:pPr>
      <w:r>
        <w:rPr>
          <w:rFonts w:ascii="Arial" w:cs="Arial" w:eastAsia="Arial" w:hAnsi="Arial"/>
          <w:b/>
          <w:bCs/>
          <w:sz w:val="22"/>
          <w:szCs w:val="22"/>
        </w:rPr>
        <w:t xml:space="preserve">Police Power: </w:t>
      </w:r>
      <w:r>
        <w:rPr>
          <w:rFonts w:ascii="Arial" w:cs="Arial" w:eastAsia="Arial" w:hAnsi="Arial"/>
          <w:b w:val="false"/>
          <w:bCs w:val="false"/>
          <w:i w:val="false"/>
          <w:iCs w:val="false"/>
          <w:sz w:val="22"/>
          <w:szCs w:val="22"/>
        </w:rPr>
        <w:t xml:space="preserve">The constitutional authority of state and local governments to regulate behavior and enforce order for the betterment of health, safety, morals, and general welfare. The foundation for all zoning and land use regulation. Village of Euclid v. Ambler Realty Co., 272 U.S. 365 (1926).</w:t>
      </w:r>
    </w:p>
    <w:p>
      <w:pPr>
        <w:spacing w:after="140" w:before="0" w:line="300"/>
      </w:pPr>
      <w:r>
        <w:rPr>
          <w:rFonts w:ascii="Arial" w:cs="Arial" w:eastAsia="Arial" w:hAnsi="Arial"/>
          <w:b/>
          <w:bCs/>
          <w:sz w:val="22"/>
          <w:szCs w:val="22"/>
        </w:rPr>
        <w:t xml:space="preserve">Takings Clause: </w:t>
      </w:r>
      <w:r>
        <w:rPr>
          <w:rFonts w:ascii="Arial" w:cs="Arial" w:eastAsia="Arial" w:hAnsi="Arial"/>
          <w:b w:val="false"/>
          <w:bCs w:val="false"/>
          <w:i w:val="false"/>
          <w:iCs w:val="false"/>
          <w:sz w:val="22"/>
          <w:szCs w:val="22"/>
        </w:rPr>
        <w:t xml:space="preserve">The Fifth Amendment provision that private property shall not be taken for public use without just compensation. Applied to states through the Fourteenth Amendment. A regulation that merely limits the manner of use or denies a particular development type is generally not a taking. Penn Central Transportation Co. v. City of New York, 438 U.S. 104 (1978).</w:t>
      </w:r>
    </w:p>
    <w:p>
      <w:pPr>
        <w:spacing w:after="140" w:before="0" w:line="300"/>
      </w:pPr>
      <w:r>
        <w:rPr>
          <w:rFonts w:ascii="Arial" w:cs="Arial" w:eastAsia="Arial" w:hAnsi="Arial"/>
          <w:b/>
          <w:bCs/>
          <w:sz w:val="22"/>
          <w:szCs w:val="22"/>
        </w:rPr>
        <w:t xml:space="preserve">Nexus and Rough Proportionality: </w:t>
      </w:r>
      <w:r>
        <w:rPr>
          <w:rFonts w:ascii="Arial" w:cs="Arial" w:eastAsia="Arial" w:hAnsi="Arial"/>
          <w:b w:val="false"/>
          <w:bCs w:val="false"/>
          <w:i w:val="false"/>
          <w:iCs w:val="false"/>
          <w:sz w:val="22"/>
          <w:szCs w:val="22"/>
        </w:rPr>
        <w:t xml:space="preserve">The constitutional requirements that conditions imposed on development must be reasonably related to the project’s impacts (nexus) and proportional to them (rough proportionality). Nollan v. California Coastal Commission, 483 U.S. 825 (1987); Dolan v. City of Tigard, 512 U.S. 374 (1994).</w:t>
      </w:r>
    </w:p>
    <w:p>
      <w:pPr>
        <w:spacing w:after="140" w:before="0" w:line="300"/>
      </w:pPr>
      <w:r>
        <w:rPr>
          <w:rFonts w:ascii="Arial" w:cs="Arial" w:eastAsia="Arial" w:hAnsi="Arial"/>
          <w:b/>
          <w:bCs/>
          <w:sz w:val="22"/>
          <w:szCs w:val="22"/>
        </w:rPr>
        <w:t xml:space="preserve">Idaho Local Land Use Planning Act (LLUPA): </w:t>
      </w:r>
      <w:r>
        <w:rPr>
          <w:rFonts w:ascii="Arial" w:cs="Arial" w:eastAsia="Arial" w:hAnsi="Arial"/>
          <w:b w:val="false"/>
          <w:bCs w:val="false"/>
          <w:i w:val="false"/>
          <w:iCs w:val="false"/>
          <w:sz w:val="22"/>
          <w:szCs w:val="22"/>
        </w:rPr>
        <w:t xml:space="preserve">Idaho Code §67-6501 et seq. The state statute authorizing counties to adopt comprehensive plans and zoning ordinances. Requires that zoning ordinances be consistent with the comprehensive plan. The legal foundation for Jerome County’s regulatory authority over energy facilities.</w:t>
      </w:r>
    </w:p>
    <w:p>
      <w:pPr>
        <w:spacing w:after="140" w:before="0" w:line="300"/>
      </w:pPr>
      <w:r>
        <w:rPr>
          <w:rFonts w:ascii="Arial" w:cs="Arial" w:eastAsia="Arial" w:hAnsi="Arial"/>
          <w:b/>
          <w:bCs/>
          <w:sz w:val="22"/>
          <w:szCs w:val="22"/>
        </w:rPr>
        <w:t xml:space="preserve">Farmland Protection Policy Act (FPPA): </w:t>
      </w:r>
      <w:r>
        <w:rPr>
          <w:rFonts w:ascii="Arial" w:cs="Arial" w:eastAsia="Arial" w:hAnsi="Arial"/>
          <w:b w:val="false"/>
          <w:bCs w:val="false"/>
          <w:i w:val="false"/>
          <w:iCs w:val="false"/>
          <w:sz w:val="22"/>
          <w:szCs w:val="22"/>
        </w:rPr>
        <w:t xml:space="preserve">Federal law (7 U.S.C. §4201) establishing the policy of minimizing the extent to which federal actions contribute to the unnecessary and irreversible conversion of farmland to nonagricultural uses. Uses the term “irreversible conversion” to describe the permanent loss of agricultural productivity.</w:t>
      </w:r>
    </w:p>
    <w:p>
      <w:pPr>
        <w:spacing w:after="140" w:before="0" w:line="300"/>
      </w:pPr>
      <w:r>
        <w:rPr>
          <w:rFonts w:ascii="Arial" w:cs="Arial" w:eastAsia="Arial" w:hAnsi="Arial"/>
          <w:b/>
          <w:bCs/>
          <w:sz w:val="22"/>
          <w:szCs w:val="22"/>
        </w:rPr>
        <w:t xml:space="preserve">SB 1133 (Idaho, 2025): </w:t>
      </w:r>
      <w:r>
        <w:rPr>
          <w:rFonts w:ascii="Arial" w:cs="Arial" w:eastAsia="Arial" w:hAnsi="Arial"/>
          <w:b w:val="false"/>
          <w:bCs w:val="false"/>
          <w:i w:val="false"/>
          <w:iCs w:val="false"/>
          <w:sz w:val="22"/>
          <w:szCs w:val="22"/>
        </w:rPr>
        <w:t xml:space="preserve">Senate Bill 1133, signed April 1, 2025, amending the Idaho Agricultural Protection Area Act to prohibit solar and wind energy structures on APA-designated lands. Reflects the state legislative direction toward agricultural land protection that the County’s ordinances are consistent with.</w:t>
      </w:r>
    </w:p>
    <w:p>
      <w:pPr>
        <w:spacing w:after="140" w:before="0" w:line="300"/>
      </w:pPr>
      <w:r>
        <w:rPr>
          <w:rFonts w:ascii="Arial" w:cs="Arial" w:eastAsia="Arial" w:hAnsi="Arial"/>
          <w:b/>
          <w:bCs/>
          <w:sz w:val="22"/>
          <w:szCs w:val="22"/>
        </w:rPr>
        <w:t xml:space="preserve">HCR032 (Idaho, 2026): </w:t>
      </w:r>
      <w:r>
        <w:rPr>
          <w:rFonts w:ascii="Arial" w:cs="Arial" w:eastAsia="Arial" w:hAnsi="Arial"/>
          <w:b w:val="false"/>
          <w:bCs w:val="false"/>
          <w:i w:val="false"/>
          <w:iCs w:val="false"/>
          <w:sz w:val="22"/>
          <w:szCs w:val="22"/>
        </w:rPr>
        <w:t xml:space="preserve">House Concurrent Resolution 32, adopted March 16, 2026 by the Idaho House of Representatives. Declares that energy transmission infrastructure that does not benefit Idaho utility customers and materially harms agriculture, critical water resources, or rural communities is inconsistent with state policy. Affirms that “private property rights, local land use authority, and the protection of agricultural and rural communities are paramount considerations” in energy infrastructure siting. Recognizes the Eastern Snake Plain Aquifer as a critical resource of statewide importance. Requires all major energy projects to demonstrate clear, measurable, durable net benefit to Idaho ratepayers.</w:t>
      </w:r>
    </w:p>
    <w:p>
      <w:pPr>
        <w:spacing w:after="200" w:before="300" w:line="300"/>
      </w:pPr>
      <w:r>
        <w:rPr>
          <w:rFonts w:ascii="Arial" w:cs="Arial" w:eastAsia="Arial" w:hAnsi="Arial"/>
          <w:b/>
          <w:bCs/>
          <w:i w:val="false"/>
          <w:iCs w:val="false"/>
          <w:color w:val="1F3864"/>
          <w:sz w:val="28"/>
          <w:szCs w:val="28"/>
        </w:rPr>
        <w:t xml:space="preserve">H. Community Survey Evidence</w:t>
      </w:r>
    </w:p>
    <w:p>
      <w:pPr>
        <w:spacing w:after="140" w:before="0" w:line="300"/>
      </w:pPr>
      <w:r>
        <w:rPr>
          <w:rFonts w:ascii="Arial" w:cs="Arial" w:eastAsia="Arial" w:hAnsi="Arial"/>
          <w:b/>
          <w:bCs/>
          <w:sz w:val="22"/>
          <w:szCs w:val="22"/>
        </w:rPr>
        <w:t xml:space="preserve">JTown Beacon Community Survey (March 2026): </w:t>
      </w:r>
      <w:r>
        <w:rPr>
          <w:rFonts w:ascii="Arial" w:cs="Arial" w:eastAsia="Arial" w:hAnsi="Arial"/>
          <w:b w:val="false"/>
          <w:bCs w:val="false"/>
          <w:i w:val="false"/>
          <w:iCs w:val="false"/>
          <w:sz w:val="22"/>
          <w:szCs w:val="22"/>
        </w:rPr>
        <w:t xml:space="preserve">A ten-question community survey of 65 Jerome County respondents measuring positions on energy siting, agricultural preservation, notification, decommissioning, and regulatory adequacy. The survey provides direct evidence of community sentiment supporting the regulatory framework proposed in this document package. Key findings cited throughout the package include: 93.8% prioritize agricultural preservation (Q1); 93.7% oppose large-scale energy in agricultural zones (Q3); 92.3% concerned about BESS safety (Q5); 80% say current guidelines not strict enough (Q6); 90.8% support county-wide notification (Q7); 90.8% rate decommissioning financial assurance as extremely important (Q8); 87.7% say energy development should be limited to protect farmland (Q9); 80% say current approach needs significant revision (Q10).</w:t>
      </w:r>
    </w:p>
    <w:p>
      <w:pPr>
        <w:spacing w:after="200" w:before="0" w:line="300"/>
      </w:pPr>
      <w:r>
        <w:rPr>
          <w:rFonts w:ascii="Arial" w:cs="Arial" w:eastAsia="Arial" w:hAnsi="Arial"/>
          <w:b w:val="false"/>
          <w:bCs w:val="false"/>
          <w:i w:val="false"/>
          <w:iCs w:val="false"/>
          <w:sz w:val="22"/>
          <w:szCs w:val="22"/>
        </w:rPr>
        <w:t xml:space="preserve"/>
      </w:r>
    </w:p>
    <w:p>
      <w:pPr>
        <w:pBdr>
          <w:top w:val="single" w:color="2E75B6" w:sz="4" w:space="8"/>
        </w:pBdr>
        <w:spacing w:after="100" w:before="200"/>
        <w:jc w:val="center"/>
      </w:pPr>
      <w:r>
        <w:rPr>
          <w:rFonts w:ascii="Arial" w:cs="Arial" w:eastAsia="Arial" w:hAnsi="Arial"/>
          <w:b w:val="false"/>
          <w:bCs w:val="false"/>
          <w:i/>
          <w:iCs/>
          <w:color w:val="666666"/>
          <w:sz w:val="18"/>
          <w:szCs w:val="18"/>
        </w:rPr>
        <w:t xml:space="preserve">Prepared by Jeff Pierson, Confidential Solutions LLC  |  713 East Ave C, Jerome, Idaho  |  March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Glossary of Definitions and Key Terms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glossary of legal, technical, agricultural, and regulatory terms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v2</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data center facility definition, BESS definition, tier classification definitions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v3</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Expanded constitutional law terms, added CSPM definition</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v4</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Section H (Community Survey Evidence) and HCR032 definition in Section G</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revision tracking page; final consistency review</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E75B6" w:sz="4" w:space="4"/>
      </w:pBdr>
      <w:tabs>
        <w:tab w:val="right" w:pos="9026"/>
      </w:tabs>
    </w:pPr>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r>
      <w:rPr>
        <w:rFonts w:ascii="Arial" w:cs="Arial" w:eastAsia="Arial" w:hAnsi="Arial"/>
        <w:b w:val="false"/>
        <w:bCs w:val="false"/>
        <w:i w:val="false"/>
        <w:iCs w:val="false"/>
        <w:color w:val="666666"/>
        <w:sz w:val="16"/>
        <w:szCs w:val="16"/>
      </w:rPr>
      <w:t xml:space="preserve">  Pierson — Glossary</w:t>
    </w:r>
    <w:r>
      <w:rPr>
        <w:rFonts w:ascii="Arial" w:cs="Arial" w:eastAsia="Arial" w:hAnsi="Arial"/>
        <w:sz w:val="16"/>
        <w:szCs w:val="16"/>
      </w:rPr>
      <w:t xml:space="preserve">	</w:t>
    </w:r>
    <w:r>
      <w:rPr>
        <w:rFonts w:ascii="Arial" w:cs="Arial" w:eastAsia="Arial" w:hAnsi="Arial"/>
        <w:b w:val="false"/>
        <w:bCs w:val="false"/>
        <w:i w:val="false"/>
        <w:iCs w:val="false"/>
        <w:color w:val="666666"/>
        <w:sz w:val="16"/>
        <w:szCs w:val="16"/>
      </w:rPr>
      <w:t xml:space="preserve">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b w:val="false"/>
        <w:bCs w:val="false"/>
        <w:i/>
        <w:iCs/>
        <w:color w:val="666666"/>
        <w:sz w:val="16"/>
        <w:szCs w:val="16"/>
      </w:rPr>
      <w:t xml:space="preserve">JEROME COUNTY ENERGY ORDINANCE REFORM — GLOSSARY OF DEFINITIONS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2026-03-23T07:48:03.510Z</dcterms:created>
  <dcterms:modified xsi:type="dcterms:W3CDTF">2026-03-23T07:48:03.510Z</dcterms:modified>
</cp:coreProperties>
</file>

<file path=docProps/custom.xml><?xml version="1.0" encoding="utf-8"?>
<Properties xmlns="http://schemas.openxmlformats.org/officeDocument/2006/custom-properties" xmlns:vt="http://schemas.openxmlformats.org/officeDocument/2006/docPropsVTypes"/>
</file>