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00"/>
        <w:jc w:val="center"/>
      </w:pPr>
      <w:r>
        <w:rPr>
          <w:rFonts w:ascii="Arial" w:cs="Arial" w:eastAsia="Arial" w:hAnsi="Arial"/>
          <w:b/>
          <w:bCs/>
          <w:i w:val="false"/>
          <w:iCs w:val="false"/>
          <w:color w:val="1F3864"/>
          <w:sz w:val="36"/>
          <w:szCs w:val="36"/>
        </w:rPr>
        <w:t xml:space="preserve">JEROME COUNTY ENERGY ORDINANCE REFORM</w:t>
      </w:r>
    </w:p>
    <w:p>
      <w:pPr>
        <w:spacing w:after="80" w:before="0" w:line="300"/>
        <w:jc w:val="center"/>
      </w:pPr>
      <w:r>
        <w:rPr>
          <w:rFonts w:ascii="Arial" w:cs="Arial" w:eastAsia="Arial" w:hAnsi="Arial"/>
          <w:b/>
          <w:bCs/>
          <w:i w:val="false"/>
          <w:iCs w:val="false"/>
          <w:color w:val="2E75B6"/>
          <w:sz w:val="26"/>
          <w:szCs w:val="26"/>
        </w:rPr>
        <w:t xml:space="preserve">Supplement: Community Survey Evidence and National Public Opinion Context</w:t>
      </w:r>
    </w:p>
    <w:p>
      <w:pPr>
        <w:pBdr>
          <w:bottom w:val="single" w:color="2E75B6" w:sz="8" w:space="1"/>
        </w:pBdr>
        <w:spacing w:after="80"/>
        <w:jc w:val="center"/>
      </w:pPr>
    </w:p>
    <w:p>
      <w:pPr>
        <w:spacing w:after="300" w:before="0" w:line="300"/>
        <w:jc w:val="center"/>
      </w:pPr>
      <w:r>
        <w:rPr>
          <w:rFonts w:ascii="Arial" w:cs="Arial" w:eastAsia="Arial" w:hAnsi="Arial"/>
          <w:b w:val="false"/>
          <w:bCs w:val="false"/>
          <w:i/>
          <w:iCs/>
          <w:color w:val="666666"/>
          <w:sz w:val="20"/>
          <w:szCs w:val="20"/>
        </w:rPr>
        <w:t xml:space="preserve">Jeff Pierson  |  Confidential Solutions LLC  |  713 East Ave C, Jerome, Idaho  |  March 2026</w:t>
      </w:r>
    </w:p>
    <w:p>
      <w:pPr>
        <w:spacing w:after="250" w:before="0" w:line="300"/>
      </w:pPr>
      <w:r>
        <w:rPr>
          <w:rFonts w:ascii="Arial" w:cs="Arial" w:eastAsia="Arial" w:hAnsi="Arial"/>
          <w:b w:val="false"/>
          <w:bCs w:val="false"/>
          <w:i w:val="false"/>
          <w:iCs w:val="false"/>
          <w:sz w:val="22"/>
          <w:szCs w:val="22"/>
        </w:rPr>
        <w:t xml:space="preserve">This supplement documents the community survey evidence underlying the Jerome County Energy Ordinance Reform package and places those findings in the context of national public opinion on energy development, data centers, and rural community protection. The local survey results demonstrate that the proposed regulatory framework reflects documented community consensus. The national evidence demonstrates that Jerome County’s concerns are not unique—they are part of a nationwide pattern of rural communities demanding stronger protections from the impacts of large-scale energy and data center development.</w:t>
      </w:r>
    </w:p>
    <w:p>
      <w:pPr>
        <w:spacing w:after="200" w:before="300" w:line="300"/>
      </w:pPr>
      <w:r>
        <w:rPr>
          <w:rFonts w:ascii="Arial" w:cs="Arial" w:eastAsia="Arial" w:hAnsi="Arial"/>
          <w:b/>
          <w:bCs/>
          <w:i w:val="false"/>
          <w:iCs w:val="false"/>
          <w:color w:val="1F3864"/>
          <w:sz w:val="28"/>
          <w:szCs w:val="28"/>
        </w:rPr>
        <w:t xml:space="preserve">I. JTown Beacon Community Survey — Jerome County (March 2026)</w:t>
      </w:r>
    </w:p>
    <w:p>
      <w:pPr>
        <w:spacing w:after="160" w:before="0" w:line="300"/>
      </w:pPr>
      <w:r>
        <w:rPr>
          <w:rFonts w:ascii="Arial" w:cs="Arial" w:eastAsia="Arial" w:hAnsi="Arial"/>
          <w:b w:val="false"/>
          <w:bCs w:val="false"/>
          <w:i w:val="false"/>
          <w:iCs w:val="false"/>
          <w:sz w:val="22"/>
          <w:szCs w:val="22"/>
        </w:rPr>
        <w:t xml:space="preserve">The JTown Beacon Community Survey was conducted in March 2026 with </w:t>
      </w:r>
      <w:r>
        <w:rPr>
          <w:rFonts w:ascii="Arial" w:cs="Arial" w:eastAsia="Arial" w:hAnsi="Arial"/>
          <w:b/>
          <w:bCs/>
          <w:sz w:val="22"/>
          <w:szCs w:val="22"/>
        </w:rPr>
        <w:t xml:space="preserve">65 respondents</w:t>
      </w:r>
      <w:r>
        <w:rPr>
          <w:rFonts w:ascii="Arial" w:cs="Arial" w:eastAsia="Arial" w:hAnsi="Arial"/>
          <w:b w:val="false"/>
          <w:bCs w:val="false"/>
          <w:i w:val="false"/>
          <w:iCs w:val="false"/>
          <w:sz w:val="22"/>
          <w:szCs w:val="22"/>
        </w:rPr>
        <w:t xml:space="preserve"> from Jerome County. The survey measured community positions on ten questions spanning agricultural preservation, energy development siting, BESS safety, regulatory adequacy, notification requirements, decommissioning, economic priorities, and overall policy direction. All 65 respondents answered all 10 questions (0% unanswered). The results are striking in their consistency and magnitude.</w:t>
      </w:r>
    </w:p>
    <w:p>
      <w:pPr>
        <w:spacing w:after="120" w:before="200" w:line="300"/>
      </w:pPr>
      <w:r>
        <w:rPr>
          <w:rFonts w:ascii="Arial" w:cs="Arial" w:eastAsia="Arial" w:hAnsi="Arial"/>
          <w:b/>
          <w:bCs/>
          <w:i w:val="false"/>
          <w:iCs w:val="false"/>
          <w:color w:val="2E75B6"/>
          <w:sz w:val="24"/>
          <w:szCs w:val="24"/>
        </w:rPr>
        <w:t xml:space="preserve">Complete Survey Results</w:t>
      </w:r>
    </w:p>
    <w:p>
      <w:pPr>
        <w:spacing w:after="140" w:before="0" w:line="300"/>
        <w:ind w:left="360"/>
      </w:pPr>
      <w:r>
        <w:rPr>
          <w:rFonts w:ascii="Arial" w:cs="Arial" w:eastAsia="Arial" w:hAnsi="Arial"/>
          <w:b/>
          <w:bCs/>
          <w:sz w:val="22"/>
          <w:szCs w:val="22"/>
        </w:rPr>
        <w:t xml:space="preserve">Q1 — Land Use Priorities: </w:t>
      </w:r>
      <w:r>
        <w:rPr>
          <w:rFonts w:ascii="Arial" w:cs="Arial" w:eastAsia="Arial" w:hAnsi="Arial"/>
          <w:b w:val="false"/>
          <w:bCs w:val="false"/>
          <w:i w:val="false"/>
          <w:iCs w:val="false"/>
          <w:sz w:val="22"/>
          <w:szCs w:val="22"/>
        </w:rPr>
        <w:t xml:space="preserve">70.4% rate agricultural land preservation as “Extremely Important,” 9.9% “Very Important,” 7.7% “Important,” 5.6% “Moderately Important.” Combined: 93.8% rate preservation as important or higher. Only 6.2% rated it as “Slightly” or “Not Important.”</w:t>
      </w:r>
    </w:p>
    <w:p>
      <w:pPr>
        <w:spacing w:after="140" w:before="0" w:line="300"/>
        <w:ind w:left="360"/>
      </w:pPr>
      <w:r>
        <w:rPr>
          <w:rFonts w:ascii="Arial" w:cs="Arial" w:eastAsia="Arial" w:hAnsi="Arial"/>
          <w:b/>
          <w:bCs/>
          <w:sz w:val="22"/>
          <w:szCs w:val="22"/>
        </w:rPr>
        <w:t xml:space="preserve">Q2 — Location of Large-Scale Facilities: </w:t>
      </w:r>
      <w:r>
        <w:rPr>
          <w:rFonts w:ascii="Arial" w:cs="Arial" w:eastAsia="Arial" w:hAnsi="Arial"/>
          <w:b w:val="false"/>
          <w:bCs w:val="false"/>
          <w:i w:val="false"/>
          <w:iCs w:val="false"/>
          <w:sz w:val="22"/>
          <w:szCs w:val="22"/>
        </w:rPr>
        <w:t xml:space="preserve">Mixed results on restricting large-scale facilities to Heavy Industrial (IH) zoning. 32.6% Strongly Support + 9.3% Support = 41.9% support IH-only restriction. 38.8% Strongly Oppose + 12.4% Oppose = 51.2% oppose IH-only restriction. This is the only question where results did not show a strong majority—reflecting the tiered approach adopted in the ordinance, which does not categorically limit to IH but imposes escalating standards based on scale and impact.</w:t>
      </w:r>
    </w:p>
    <w:p>
      <w:pPr>
        <w:spacing w:after="140" w:before="0" w:line="300"/>
        <w:ind w:left="360"/>
      </w:pPr>
      <w:r>
        <w:rPr>
          <w:rFonts w:ascii="Arial" w:cs="Arial" w:eastAsia="Arial" w:hAnsi="Arial"/>
          <w:b/>
          <w:bCs/>
          <w:sz w:val="22"/>
          <w:szCs w:val="22"/>
        </w:rPr>
        <w:t xml:space="preserve">Q3 — Energy Development in Agricultural Zones: </w:t>
      </w:r>
      <w:r>
        <w:rPr>
          <w:rFonts w:ascii="Arial" w:cs="Arial" w:eastAsia="Arial" w:hAnsi="Arial"/>
          <w:b w:val="false"/>
          <w:bCs w:val="false"/>
          <w:i w:val="false"/>
          <w:iCs w:val="false"/>
          <w:sz w:val="22"/>
          <w:szCs w:val="22"/>
        </w:rPr>
        <w:t xml:space="preserve">93.7% said NO to allowing large-scale energy development in agricultural zones (59 of 65 respondents). 7.7% said Yes (5 respondents). 1.5% Unsure (1 respondent). This is the most decisive result in the survey and provides the strongest possible mandate for the Class I/II soil prohibition.</w:t>
      </w:r>
    </w:p>
    <w:p>
      <w:pPr>
        <w:spacing w:after="140" w:before="0" w:line="300"/>
        <w:ind w:left="360"/>
      </w:pPr>
      <w:r>
        <w:rPr>
          <w:rFonts w:ascii="Arial" w:cs="Arial" w:eastAsia="Arial" w:hAnsi="Arial"/>
          <w:b/>
          <w:bCs/>
          <w:sz w:val="22"/>
          <w:szCs w:val="22"/>
        </w:rPr>
        <w:t xml:space="preserve">Q4 — Small-Scale &amp; On-Site Energy Systems: </w:t>
      </w:r>
      <w:r>
        <w:rPr>
          <w:rFonts w:ascii="Arial" w:cs="Arial" w:eastAsia="Arial" w:hAnsi="Arial"/>
          <w:b w:val="false"/>
          <w:bCs w:val="false"/>
          <w:i w:val="false"/>
          <w:iCs w:val="false"/>
          <w:sz w:val="22"/>
          <w:szCs w:val="22"/>
        </w:rPr>
        <w:t xml:space="preserve">49.2% support allowing small-scale/on-site renewable energy in agricultural zones (6.2% Strongly Support, 43.1% Support). 21.5% Neutral. 29.2% oppose (9.2% Oppose, 20% Strongly Oppose). Average rating: Neutral. This result supports the Tier 1 administrative permit pathway—the community is open to small-scale, on-site systems while opposing large-scale commercial development.</w:t>
      </w:r>
    </w:p>
    <w:p>
      <w:pPr>
        <w:spacing w:after="140" w:before="0" w:line="300"/>
        <w:ind w:left="360"/>
      </w:pPr>
      <w:r>
        <w:rPr>
          <w:rFonts w:ascii="Arial" w:cs="Arial" w:eastAsia="Arial" w:hAnsi="Arial"/>
          <w:b/>
          <w:bCs/>
          <w:sz w:val="22"/>
          <w:szCs w:val="22"/>
        </w:rPr>
        <w:t xml:space="preserve">Q5 — Battery Energy Storage Systems (BESS): </w:t>
      </w:r>
      <w:r>
        <w:rPr>
          <w:rFonts w:ascii="Arial" w:cs="Arial" w:eastAsia="Arial" w:hAnsi="Arial"/>
          <w:b w:val="false"/>
          <w:bCs w:val="false"/>
          <w:i w:val="false"/>
          <w:iCs w:val="false"/>
          <w:sz w:val="22"/>
          <w:szCs w:val="22"/>
        </w:rPr>
        <w:t xml:space="preserve">83.1% Very Concerned + 9.2% Somewhat Concerned = 92.3% concerned about BESS safety risks. Only 6.2% not concerned. Average rating: Very Concerned. This overwhelming concern supports the BESS prohibition in agricultural zones.</w:t>
      </w:r>
    </w:p>
    <w:p>
      <w:pPr>
        <w:spacing w:after="140" w:before="0" w:line="300"/>
        <w:ind w:left="360"/>
      </w:pPr>
      <w:r>
        <w:rPr>
          <w:rFonts w:ascii="Arial" w:cs="Arial" w:eastAsia="Arial" w:hAnsi="Arial"/>
          <w:b/>
          <w:bCs/>
          <w:sz w:val="22"/>
          <w:szCs w:val="22"/>
        </w:rPr>
        <w:t xml:space="preserve">Q6 — Required Studies &amp; Protections: </w:t>
      </w:r>
      <w:r>
        <w:rPr>
          <w:rFonts w:ascii="Arial" w:cs="Arial" w:eastAsia="Arial" w:hAnsi="Arial"/>
          <w:b w:val="false"/>
          <w:bCs w:val="false"/>
          <w:i w:val="false"/>
          <w:iCs w:val="false"/>
          <w:sz w:val="22"/>
          <w:szCs w:val="22"/>
        </w:rPr>
        <w:t xml:space="preserve">80% say current guidelines for noise, glare, traffic, stormwater, and emergency response are “Not strict enough” (52 of 65). 9.2% say “Appropriate.” 4.6% say “More than sufficient.” 6.2% Unsure. This 80% finding directly contradicts the P&amp;Z Commission’s characterization of the proposed standards as “heavy-handed.”</w:t>
      </w:r>
    </w:p>
    <w:p>
      <w:pPr>
        <w:spacing w:after="140" w:before="0" w:line="300"/>
        <w:ind w:left="360"/>
      </w:pPr>
      <w:r>
        <w:rPr>
          <w:rFonts w:ascii="Arial" w:cs="Arial" w:eastAsia="Arial" w:hAnsi="Arial"/>
          <w:b/>
          <w:bCs/>
          <w:sz w:val="22"/>
          <w:szCs w:val="22"/>
        </w:rPr>
        <w:t xml:space="preserve">Q7 — Notification &amp; Public Input Radius: </w:t>
      </w:r>
      <w:r>
        <w:rPr>
          <w:rFonts w:ascii="Arial" w:cs="Arial" w:eastAsia="Arial" w:hAnsi="Arial"/>
          <w:b w:val="false"/>
          <w:bCs w:val="false"/>
          <w:i w:val="false"/>
          <w:iCs w:val="false"/>
          <w:sz w:val="22"/>
          <w:szCs w:val="22"/>
        </w:rPr>
        <w:t xml:space="preserve">90.8% say YES, all Jerome County residents should be notified when a large-scale energy facility or AI data center is proposed (59 of 65). Only 9.2% said No. This provides direct democratic support for the county-wide / 25-mile notification standard.</w:t>
      </w:r>
    </w:p>
    <w:p>
      <w:pPr>
        <w:spacing w:after="140" w:before="0" w:line="300"/>
        <w:ind w:left="360"/>
      </w:pPr>
      <w:r>
        <w:rPr>
          <w:rFonts w:ascii="Arial" w:cs="Arial" w:eastAsia="Arial" w:hAnsi="Arial"/>
          <w:b/>
          <w:bCs/>
          <w:sz w:val="22"/>
          <w:szCs w:val="22"/>
        </w:rPr>
        <w:t xml:space="preserve">Q8 — Decommissioning &amp; Reclamation: </w:t>
      </w:r>
      <w:r>
        <w:rPr>
          <w:rFonts w:ascii="Arial" w:cs="Arial" w:eastAsia="Arial" w:hAnsi="Arial"/>
          <w:b w:val="false"/>
          <w:bCs w:val="false"/>
          <w:i w:val="false"/>
          <w:iCs w:val="false"/>
          <w:sz w:val="22"/>
          <w:szCs w:val="22"/>
        </w:rPr>
        <w:t xml:space="preserve">90.8% rate financial assurance for facility removal and land restoration as “Extremely Important” (59 of 65). 4.6% “Moderately Important.” 1.5% “Slightly Important.” 3.1% “Not Important.” This provides direct support for the 150% decommissioning bond/trust fund requirements.</w:t>
      </w:r>
    </w:p>
    <w:p>
      <w:pPr>
        <w:spacing w:after="140" w:before="0" w:line="300"/>
        <w:ind w:left="360"/>
      </w:pPr>
      <w:r>
        <w:rPr>
          <w:rFonts w:ascii="Arial" w:cs="Arial" w:eastAsia="Arial" w:hAnsi="Arial"/>
          <w:b/>
          <w:bCs/>
          <w:sz w:val="22"/>
          <w:szCs w:val="22"/>
        </w:rPr>
        <w:t xml:space="preserve">Q9 — Economic Considerations: </w:t>
      </w:r>
      <w:r>
        <w:rPr>
          <w:rFonts w:ascii="Arial" w:cs="Arial" w:eastAsia="Arial" w:hAnsi="Arial"/>
          <w:b w:val="false"/>
          <w:bCs w:val="false"/>
          <w:i w:val="false"/>
          <w:iCs w:val="false"/>
          <w:sz w:val="22"/>
          <w:szCs w:val="22"/>
        </w:rPr>
        <w:t xml:space="preserve">87.7% say energy development should be limited to protect farmland and rural character (57 of 65). Only 4.6% say energy development should be expanded at the expense of agricultural land (3 respondents). 7.7% Unsure. This decisively resolves the economic balancing question in favor of agricultural protection.</w:t>
      </w:r>
    </w:p>
    <w:p>
      <w:pPr>
        <w:spacing w:after="140" w:before="0" w:line="300"/>
        <w:ind w:left="360"/>
      </w:pPr>
      <w:r>
        <w:rPr>
          <w:rFonts w:ascii="Arial" w:cs="Arial" w:eastAsia="Arial" w:hAnsi="Arial"/>
          <w:b/>
          <w:bCs/>
          <w:sz w:val="22"/>
          <w:szCs w:val="22"/>
        </w:rPr>
        <w:t xml:space="preserve">Q10 — Overall Position: </w:t>
      </w:r>
      <w:r>
        <w:rPr>
          <w:rFonts w:ascii="Arial" w:cs="Arial" w:eastAsia="Arial" w:hAnsi="Arial"/>
          <w:b w:val="false"/>
          <w:bCs w:val="false"/>
          <w:i w:val="false"/>
          <w:iCs w:val="false"/>
          <w:sz w:val="22"/>
          <w:szCs w:val="22"/>
        </w:rPr>
        <w:t xml:space="preserve">80% say the current approach to energy development “needs significant revision” (52 of 65). Only 4.6% say it is “well balanced.” 15.4% Unsure. This provides the clearest possible mandate for the comprehensive regulatory reform proposed in the ordinance package.</w:t>
      </w:r>
    </w:p>
    <w:p>
      <w:pPr>
        <w:spacing w:after="120" w:before="200" w:line="300"/>
      </w:pPr>
      <w:r>
        <w:rPr>
          <w:rFonts w:ascii="Arial" w:cs="Arial" w:eastAsia="Arial" w:hAnsi="Arial"/>
          <w:b/>
          <w:bCs/>
          <w:i w:val="false"/>
          <w:iCs w:val="false"/>
          <w:color w:val="2E75B6"/>
          <w:sz w:val="24"/>
          <w:szCs w:val="24"/>
        </w:rPr>
        <w:t xml:space="preserve">Summary: The Community Mandate</w:t>
      </w:r>
    </w:p>
    <w:p>
      <w:pPr>
        <w:spacing w:after="160" w:before="0" w:line="300"/>
      </w:pPr>
      <w:r>
        <w:rPr>
          <w:rFonts w:ascii="Arial" w:cs="Arial" w:eastAsia="Arial" w:hAnsi="Arial"/>
          <w:b w:val="false"/>
          <w:bCs w:val="false"/>
          <w:i w:val="false"/>
          <w:iCs w:val="false"/>
          <w:sz w:val="22"/>
          <w:szCs w:val="22"/>
        </w:rPr>
        <w:t xml:space="preserve">Across all ten questions, the community’s position is consistent, emphatic, and directional. On every substantive question—agricultural preservation (93.8%), opposition to large-scale energy in ag zones (93.7%), BESS safety concerns (92.3%), notification expansion (90.8%), decommissioning requirements (90.8%), economic protection of farmland (87.7%), regulatory strengthening (80%), and overall revision (80%)—the results exceed the threshold of what any reasonable decision-maker would recognize as community consensus. The proposed ordinance package does not impose an outsider’s framework on Jerome County. It implements the documented will of the community.</w:t>
      </w:r>
    </w:p>
    <w:p>
      <w:pPr>
        <w:pageBreakBefore/>
        <w:spacing w:after="0" w:before="0" w:line="300"/>
      </w:pPr>
      <w:r>
        <w:rPr>
          <w:rFonts w:ascii="Arial" w:cs="Arial" w:eastAsia="Arial" w:hAnsi="Arial"/>
          <w:b w:val="false"/>
          <w:bCs w:val="false"/>
          <w:i w:val="false"/>
          <w:iCs w:val="false"/>
          <w:sz w:val="22"/>
          <w:szCs w:val="22"/>
        </w:rPr>
        <w:t xml:space="preserve"/>
      </w:r>
    </w:p>
    <w:p>
      <w:pPr>
        <w:spacing w:after="200" w:before="300" w:line="300"/>
      </w:pPr>
      <w:r>
        <w:rPr>
          <w:rFonts w:ascii="Arial" w:cs="Arial" w:eastAsia="Arial" w:hAnsi="Arial"/>
          <w:b/>
          <w:bCs/>
          <w:i w:val="false"/>
          <w:iCs w:val="false"/>
          <w:color w:val="1F3864"/>
          <w:sz w:val="28"/>
          <w:szCs w:val="28"/>
        </w:rPr>
        <w:t xml:space="preserve">II. National Public Opinion on Energy Development in Rural Communities</w:t>
      </w:r>
    </w:p>
    <w:p>
      <w:pPr>
        <w:spacing w:after="160" w:before="0" w:line="300"/>
      </w:pPr>
      <w:r>
        <w:rPr>
          <w:rFonts w:ascii="Arial" w:cs="Arial" w:eastAsia="Arial" w:hAnsi="Arial"/>
          <w:b w:val="false"/>
          <w:bCs w:val="false"/>
          <w:i w:val="false"/>
          <w:iCs w:val="false"/>
          <w:sz w:val="22"/>
          <w:szCs w:val="22"/>
        </w:rPr>
        <w:t xml:space="preserve">Jerome County’s survey results are not anomalous. They reflect a national pattern of increasing rural opposition to large-scale energy and data center development that has accelerated dramatically since 2023.</w:t>
      </w:r>
    </w:p>
    <w:p>
      <w:pPr>
        <w:spacing w:after="120" w:before="200" w:line="300"/>
      </w:pPr>
      <w:r>
        <w:rPr>
          <w:rFonts w:ascii="Arial" w:cs="Arial" w:eastAsia="Arial" w:hAnsi="Arial"/>
          <w:b/>
          <w:bCs/>
          <w:i w:val="false"/>
          <w:iCs w:val="false"/>
          <w:color w:val="2E75B6"/>
          <w:sz w:val="24"/>
          <w:szCs w:val="24"/>
        </w:rPr>
        <w:t xml:space="preserve">A. Solar and Wind Farm Opposition</w:t>
      </w:r>
    </w:p>
    <w:p>
      <w:pPr>
        <w:spacing w:after="160" w:before="0" w:line="300"/>
      </w:pPr>
      <w:r>
        <w:rPr>
          <w:rFonts w:ascii="Arial" w:cs="Arial" w:eastAsia="Arial" w:hAnsi="Arial"/>
          <w:b w:val="false"/>
          <w:bCs w:val="false"/>
          <w:i w:val="false"/>
          <w:iCs w:val="false"/>
          <w:sz w:val="22"/>
          <w:szCs w:val="22"/>
        </w:rPr>
        <w:t xml:space="preserve">Pew Research Center (June 2024) found that while approximately 6 in 10 Americans overall support wind and solar development in their communities, rural communities show notably different attitudes. </w:t>
      </w:r>
      <w:r>
        <w:rPr>
          <w:rFonts w:ascii="Arial" w:cs="Arial" w:eastAsia="Arial" w:hAnsi="Arial"/>
          <w:b/>
          <w:bCs/>
          <w:sz w:val="22"/>
          <w:szCs w:val="22"/>
        </w:rPr>
        <w:t xml:space="preserve">About half of rural residents say a solar panel farm would make their landscape ugly</w:t>
      </w:r>
      <w:r>
        <w:rPr>
          <w:rFonts w:ascii="Arial" w:cs="Arial" w:eastAsia="Arial" w:hAnsi="Arial"/>
          <w:b w:val="false"/>
          <w:bCs w:val="false"/>
          <w:i w:val="false"/>
          <w:iCs w:val="false"/>
          <w:sz w:val="22"/>
          <w:szCs w:val="22"/>
        </w:rPr>
        <w:t xml:space="preserve">, compared to 37% of urban residents. Only 35% of rural residents believe a local solar farm would lower their electricity prices, compared to 51% of urban residents.</w:t>
      </w:r>
    </w:p>
    <w:p>
      <w:pPr>
        <w:spacing w:after="120" w:before="0" w:line="300"/>
        <w:ind w:left="720"/>
      </w:pPr>
      <w:r>
        <w:rPr>
          <w:rFonts w:ascii="Arial" w:cs="Arial" w:eastAsia="Arial" w:hAnsi="Arial"/>
          <w:b w:val="false"/>
          <w:bCs w:val="false"/>
          <w:i/>
          <w:iCs/>
          <w:sz w:val="20"/>
          <w:szCs w:val="20"/>
        </w:rPr>
        <w:t xml:space="preserve">Pew Research Center, “Americans’ Views on Local Wind and Solar Power Development,” June 27, 2024.</w:t>
      </w:r>
    </w:p>
    <w:p>
      <w:pPr>
        <w:spacing w:after="160" w:before="0" w:line="300"/>
      </w:pPr>
      <w:r>
        <w:rPr>
          <w:rFonts w:ascii="Arial" w:cs="Arial" w:eastAsia="Arial" w:hAnsi="Arial"/>
          <w:b w:val="false"/>
          <w:bCs w:val="false"/>
          <w:i w:val="false"/>
          <w:iCs w:val="false"/>
          <w:sz w:val="22"/>
          <w:szCs w:val="22"/>
        </w:rPr>
        <w:t xml:space="preserve">National support for solar and wind has declined significantly. Fewer than half of U.S. adults (44%) now support expanding offshore wind farms, </w:t>
      </w:r>
      <w:r>
        <w:rPr>
          <w:rFonts w:ascii="Arial" w:cs="Arial" w:eastAsia="Arial" w:hAnsi="Arial"/>
          <w:b/>
          <w:bCs/>
          <w:sz w:val="22"/>
          <w:szCs w:val="22"/>
        </w:rPr>
        <w:t xml:space="preserve">down from 59% in 2022</w:t>
      </w:r>
      <w:r>
        <w:rPr>
          <w:rFonts w:ascii="Arial" w:cs="Arial" w:eastAsia="Arial" w:hAnsi="Arial"/>
          <w:b w:val="false"/>
          <w:bCs w:val="false"/>
          <w:i w:val="false"/>
          <w:iCs w:val="false"/>
          <w:sz w:val="22"/>
          <w:szCs w:val="22"/>
        </w:rPr>
        <w:t xml:space="preserve">. About half favor expanding solar panel farms, </w:t>
      </w:r>
      <w:r>
        <w:rPr>
          <w:rFonts w:ascii="Arial" w:cs="Arial" w:eastAsia="Arial" w:hAnsi="Arial"/>
          <w:b/>
          <w:bCs/>
          <w:sz w:val="22"/>
          <w:szCs w:val="22"/>
        </w:rPr>
        <w:t xml:space="preserve">down from approximately two-thirds in 2022</w:t>
      </w:r>
      <w:r>
        <w:rPr>
          <w:rFonts w:ascii="Arial" w:cs="Arial" w:eastAsia="Arial" w:hAnsi="Arial"/>
          <w:b w:val="false"/>
          <w:bCs w:val="false"/>
          <w:i w:val="false"/>
          <w:iCs w:val="false"/>
          <w:sz w:val="22"/>
          <w:szCs w:val="22"/>
        </w:rPr>
        <w:t xml:space="preserve">.</w:t>
      </w:r>
    </w:p>
    <w:p>
      <w:pPr>
        <w:spacing w:after="120" w:before="0" w:line="300"/>
        <w:ind w:left="720"/>
      </w:pPr>
      <w:r>
        <w:rPr>
          <w:rFonts w:ascii="Arial" w:cs="Arial" w:eastAsia="Arial" w:hAnsi="Arial"/>
          <w:b w:val="false"/>
          <w:bCs w:val="false"/>
          <w:i/>
          <w:iCs/>
          <w:sz w:val="20"/>
          <w:szCs w:val="20"/>
        </w:rPr>
        <w:t xml:space="preserve">AP-NORC Poll, “Support for solar energy and offshore wind falls,” June 2025.</w:t>
      </w:r>
    </w:p>
    <w:p>
      <w:pPr>
        <w:spacing w:after="160" w:before="0" w:line="300"/>
      </w:pPr>
      <w:r>
        <w:rPr>
          <w:rFonts w:ascii="Arial" w:cs="Arial" w:eastAsia="Arial" w:hAnsi="Arial"/>
          <w:b w:val="false"/>
          <w:bCs w:val="false"/>
          <w:i w:val="false"/>
          <w:iCs w:val="false"/>
          <w:sz w:val="22"/>
          <w:szCs w:val="22"/>
        </w:rPr>
        <w:t xml:space="preserve">In 2024 alone, </w:t>
      </w:r>
      <w:r>
        <w:rPr>
          <w:rFonts w:ascii="Arial" w:cs="Arial" w:eastAsia="Arial" w:hAnsi="Arial"/>
          <w:b/>
          <w:bCs/>
          <w:sz w:val="22"/>
          <w:szCs w:val="22"/>
        </w:rPr>
        <w:t xml:space="preserve">117 renewable energy projects were rejected nationwide</w:t>
      </w:r>
      <w:r>
        <w:rPr>
          <w:rFonts w:ascii="Arial" w:cs="Arial" w:eastAsia="Arial" w:hAnsi="Arial"/>
          <w:b w:val="false"/>
          <w:bCs w:val="false"/>
          <w:i w:val="false"/>
          <w:iCs w:val="false"/>
          <w:sz w:val="22"/>
          <w:szCs w:val="22"/>
        </w:rPr>
        <w:t xml:space="preserve">—including 39 wind projects and 78 solar projects. The pattern of rejection concentrates heavily in rural agricultural communities, precisely the areas where Jerome County’s survey shows the strongest opposition.</w:t>
      </w:r>
    </w:p>
    <w:p>
      <w:pPr>
        <w:spacing w:after="120" w:before="0" w:line="300"/>
        <w:ind w:left="720"/>
      </w:pPr>
      <w:r>
        <w:rPr>
          <w:rFonts w:ascii="Arial" w:cs="Arial" w:eastAsia="Arial" w:hAnsi="Arial"/>
          <w:b w:val="false"/>
          <w:bCs w:val="false"/>
          <w:i/>
          <w:iCs/>
          <w:sz w:val="20"/>
          <w:szCs w:val="20"/>
        </w:rPr>
        <w:t xml:space="preserve">Just The News, “Rural communities fought wind and solar developments in 2024,” 2024.</w:t>
      </w:r>
    </w:p>
    <w:p>
      <w:pPr>
        <w:spacing w:after="120" w:before="200" w:line="300"/>
      </w:pPr>
      <w:r>
        <w:rPr>
          <w:rFonts w:ascii="Arial" w:cs="Arial" w:eastAsia="Arial" w:hAnsi="Arial"/>
          <w:b/>
          <w:bCs/>
          <w:i w:val="false"/>
          <w:iCs w:val="false"/>
          <w:color w:val="2E75B6"/>
          <w:sz w:val="24"/>
          <w:szCs w:val="24"/>
        </w:rPr>
        <w:t xml:space="preserve">B. Data Center Opposition: A National Movement</w:t>
      </w:r>
    </w:p>
    <w:p>
      <w:pPr>
        <w:spacing w:after="160" w:before="0" w:line="300"/>
      </w:pPr>
      <w:r>
        <w:rPr>
          <w:rFonts w:ascii="Arial" w:cs="Arial" w:eastAsia="Arial" w:hAnsi="Arial"/>
          <w:b w:val="false"/>
          <w:bCs w:val="false"/>
          <w:i w:val="false"/>
          <w:iCs w:val="false"/>
          <w:sz w:val="22"/>
          <w:szCs w:val="22"/>
        </w:rPr>
        <w:t xml:space="preserve">The opposition to data center development in rural communities has reached a scale that the industry itself now recognizes as a material financial risk. According to Data Center Watch, </w:t>
      </w:r>
      <w:r>
        <w:rPr>
          <w:rFonts w:ascii="Arial" w:cs="Arial" w:eastAsia="Arial" w:hAnsi="Arial"/>
          <w:b/>
          <w:bCs/>
          <w:sz w:val="22"/>
          <w:szCs w:val="22"/>
        </w:rPr>
        <w:t xml:space="preserve">$64 billion in data center projects have been blocked or delayed by community opposition</w:t>
      </w:r>
      <w:r>
        <w:rPr>
          <w:rFonts w:ascii="Arial" w:cs="Arial" w:eastAsia="Arial" w:hAnsi="Arial"/>
          <w:b w:val="false"/>
          <w:bCs w:val="false"/>
          <w:i w:val="false"/>
          <w:iCs w:val="false"/>
          <w:sz w:val="22"/>
          <w:szCs w:val="22"/>
        </w:rPr>
        <w:t xml:space="preserve"> since mid-2024. Cancellations accelerated from 2 projects in 2023 to </w:t>
      </w:r>
      <w:r>
        <w:rPr>
          <w:rFonts w:ascii="Arial" w:cs="Arial" w:eastAsia="Arial" w:hAnsi="Arial"/>
          <w:b/>
          <w:bCs/>
          <w:sz w:val="22"/>
          <w:szCs w:val="22"/>
        </w:rPr>
        <w:t xml:space="preserve">25 in 2025</w:t>
      </w:r>
      <w:r>
        <w:rPr>
          <w:rFonts w:ascii="Arial" w:cs="Arial" w:eastAsia="Arial" w:hAnsi="Arial"/>
          <w:b w:val="false"/>
          <w:bCs w:val="false"/>
          <w:i w:val="false"/>
          <w:iCs w:val="false"/>
          <w:sz w:val="22"/>
          <w:szCs w:val="22"/>
        </w:rPr>
        <w:t xml:space="preserve">.</w:t>
      </w:r>
    </w:p>
    <w:p>
      <w:pPr>
        <w:spacing w:after="120" w:before="0" w:line="300"/>
        <w:ind w:left="720"/>
      </w:pPr>
      <w:r>
        <w:rPr>
          <w:rFonts w:ascii="Arial" w:cs="Arial" w:eastAsia="Arial" w:hAnsi="Arial"/>
          <w:b w:val="false"/>
          <w:bCs w:val="false"/>
          <w:i/>
          <w:iCs/>
          <w:sz w:val="20"/>
          <w:szCs w:val="20"/>
        </w:rPr>
        <w:t xml:space="preserve">Data Center Watch, “$64 billion of data center projects blocked or delayed amid local opposition,” 2025–2026 tracking report.</w:t>
      </w:r>
    </w:p>
    <w:p>
      <w:pPr>
        <w:spacing w:after="160" w:before="0" w:line="300"/>
      </w:pPr>
      <w:r>
        <w:rPr>
          <w:rFonts w:ascii="Arial" w:cs="Arial" w:eastAsia="Arial" w:hAnsi="Arial"/>
          <w:b w:val="false"/>
          <w:bCs w:val="false"/>
          <w:i w:val="false"/>
          <w:iCs w:val="false"/>
          <w:sz w:val="22"/>
          <w:szCs w:val="22"/>
        </w:rPr>
        <w:t xml:space="preserve">At least </w:t>
      </w:r>
      <w:r>
        <w:rPr>
          <w:rFonts w:ascii="Arial" w:cs="Arial" w:eastAsia="Arial" w:hAnsi="Arial"/>
          <w:b/>
          <w:bCs/>
          <w:sz w:val="22"/>
          <w:szCs w:val="22"/>
        </w:rPr>
        <w:t xml:space="preserve">188 organized opposition groups span 40 states</w:t>
      </w:r>
      <w:r>
        <w:rPr>
          <w:rFonts w:ascii="Arial" w:cs="Arial" w:eastAsia="Arial" w:hAnsi="Arial"/>
          <w:b w:val="false"/>
          <w:bCs w:val="false"/>
          <w:i w:val="false"/>
          <w:iCs w:val="false"/>
          <w:sz w:val="22"/>
          <w:szCs w:val="22"/>
        </w:rPr>
        <w:t xml:space="preserve">. Lawmakers in </w:t>
      </w:r>
      <w:r>
        <w:rPr>
          <w:rFonts w:ascii="Arial" w:cs="Arial" w:eastAsia="Arial" w:hAnsi="Arial"/>
          <w:b/>
          <w:bCs/>
          <w:sz w:val="22"/>
          <w:szCs w:val="22"/>
        </w:rPr>
        <w:t xml:space="preserve">14+ states have enacted or proposed moratoriums</w:t>
      </w:r>
      <w:r>
        <w:rPr>
          <w:rFonts w:ascii="Arial" w:cs="Arial" w:eastAsia="Arial" w:hAnsi="Arial"/>
          <w:b w:val="false"/>
          <w:bCs w:val="false"/>
          <w:i w:val="false"/>
          <w:iCs w:val="false"/>
          <w:sz w:val="22"/>
          <w:szCs w:val="22"/>
        </w:rPr>
        <w:t xml:space="preserve"> on data center development. Opposition cuts across political lines: Republican officials raise concerns about tax incentives and grid strain; Democrats focus on environmental impacts and resource consumption. </w:t>
      </w:r>
      <w:r>
        <w:rPr>
          <w:rFonts w:ascii="Arial" w:cs="Arial" w:eastAsia="Arial" w:hAnsi="Arial"/>
          <w:b/>
          <w:bCs/>
          <w:sz w:val="22"/>
          <w:szCs w:val="22"/>
        </w:rPr>
        <w:t xml:space="preserve">Water use is the primary concern</w:t>
      </w:r>
      <w:r>
        <w:rPr>
          <w:rFonts w:ascii="Arial" w:cs="Arial" w:eastAsia="Arial" w:hAnsi="Arial"/>
          <w:b w:val="false"/>
          <w:bCs w:val="false"/>
          <w:i w:val="false"/>
          <w:iCs w:val="false"/>
          <w:sz w:val="22"/>
          <w:szCs w:val="22"/>
        </w:rPr>
        <w:t xml:space="preserve">, mentioned in more than 40% of contested projects. Energy consumption and electricity rate increases rank second, followed by noise pollution.</w:t>
      </w:r>
    </w:p>
    <w:p>
      <w:pPr>
        <w:spacing w:after="120" w:before="0" w:line="300"/>
        <w:ind w:left="720"/>
      </w:pPr>
      <w:r>
        <w:rPr>
          <w:rFonts w:ascii="Arial" w:cs="Arial" w:eastAsia="Arial" w:hAnsi="Arial"/>
          <w:b w:val="false"/>
          <w:bCs w:val="false"/>
          <w:i/>
          <w:iCs/>
          <w:sz w:val="20"/>
          <w:szCs w:val="20"/>
        </w:rPr>
        <w:t xml:space="preserve">Data Center Watch opposition tracker; TechPolicy.Press, “The Real Race for an AI Moratorium: Stopping Data Centers,” 2025.</w:t>
      </w:r>
    </w:p>
    <w:p>
      <w:pPr>
        <w:spacing w:after="120" w:before="200" w:line="300"/>
      </w:pPr>
      <w:r>
        <w:rPr>
          <w:rFonts w:ascii="Arial" w:cs="Arial" w:eastAsia="Arial" w:hAnsi="Arial"/>
          <w:b/>
          <w:bCs/>
          <w:i w:val="false"/>
          <w:iCs w:val="false"/>
          <w:color w:val="2E75B6"/>
          <w:sz w:val="24"/>
          <w:szCs w:val="24"/>
        </w:rPr>
        <w:t xml:space="preserve">C. State and Federal Moratorium Actions</w:t>
      </w:r>
    </w:p>
    <w:p>
      <w:pPr>
        <w:spacing w:after="160" w:before="0" w:line="300"/>
      </w:pPr>
      <w:r>
        <w:rPr>
          <w:rFonts w:ascii="Arial" w:cs="Arial" w:eastAsia="Arial" w:hAnsi="Arial"/>
          <w:b w:val="false"/>
          <w:bCs w:val="false"/>
          <w:i w:val="false"/>
          <w:iCs w:val="false"/>
          <w:sz w:val="22"/>
          <w:szCs w:val="22"/>
        </w:rPr>
        <w:t xml:space="preserve">The moratorium movement has expanded from isolated local actions to coordinated state-level policy:</w:t>
      </w:r>
    </w:p>
    <w:p>
      <w:pPr>
        <w:spacing w:after="100" w:before="0" w:line="300"/>
        <w:ind w:left="360"/>
      </w:pPr>
      <w:r>
        <w:rPr>
          <w:rFonts w:ascii="Arial" w:cs="Arial" w:eastAsia="Arial" w:hAnsi="Arial"/>
          <w:b/>
          <w:bCs/>
          <w:sz w:val="22"/>
          <w:szCs w:val="22"/>
        </w:rPr>
        <w:t xml:space="preserve">Maine (February 2026): </w:t>
      </w:r>
      <w:r>
        <w:rPr>
          <w:rFonts w:ascii="Arial" w:cs="Arial" w:eastAsia="Arial" w:hAnsi="Arial"/>
          <w:b w:val="false"/>
          <w:bCs w:val="false"/>
          <w:i w:val="false"/>
          <w:iCs w:val="false"/>
          <w:sz w:val="22"/>
          <w:szCs w:val="22"/>
        </w:rPr>
        <w:t xml:space="preserve">Legislature considering moratorium on data centers above 20 MW until July 2028.</w:t>
      </w:r>
    </w:p>
    <w:p>
      <w:pPr>
        <w:spacing w:after="100" w:before="0" w:line="300"/>
        <w:ind w:left="360"/>
      </w:pPr>
      <w:r>
        <w:rPr>
          <w:rFonts w:ascii="Arial" w:cs="Arial" w:eastAsia="Arial" w:hAnsi="Arial"/>
          <w:b/>
          <w:bCs/>
          <w:sz w:val="22"/>
          <w:szCs w:val="22"/>
        </w:rPr>
        <w:t xml:space="preserve">Oklahoma (2025): </w:t>
      </w:r>
      <w:r>
        <w:rPr>
          <w:rFonts w:ascii="Arial" w:cs="Arial" w:eastAsia="Arial" w:hAnsi="Arial"/>
          <w:b w:val="false"/>
          <w:bCs w:val="false"/>
          <w:i w:val="false"/>
          <w:iCs w:val="false"/>
          <w:sz w:val="22"/>
          <w:szCs w:val="22"/>
        </w:rPr>
        <w:t xml:space="preserve">Republican state senator proposed moratorium on new data centers until late 2029.</w:t>
      </w:r>
    </w:p>
    <w:p>
      <w:pPr>
        <w:spacing w:after="100" w:before="0" w:line="300"/>
        <w:ind w:left="360"/>
      </w:pPr>
      <w:r>
        <w:rPr>
          <w:rFonts w:ascii="Arial" w:cs="Arial" w:eastAsia="Arial" w:hAnsi="Arial"/>
          <w:b/>
          <w:bCs/>
          <w:sz w:val="22"/>
          <w:szCs w:val="22"/>
        </w:rPr>
        <w:t xml:space="preserve">Ohio (2025–2026): </w:t>
      </w:r>
      <w:r>
        <w:rPr>
          <w:rFonts w:ascii="Arial" w:cs="Arial" w:eastAsia="Arial" w:hAnsi="Arial"/>
          <w:b w:val="false"/>
          <w:bCs w:val="false"/>
          <w:i w:val="false"/>
          <w:iCs w:val="false"/>
          <w:sz w:val="22"/>
          <w:szCs w:val="22"/>
        </w:rPr>
        <w:t xml:space="preserve">Multiple local moratoriums (Lordstown, Washington Township) amid packed public meetings and referendum threats.</w:t>
      </w:r>
    </w:p>
    <w:p>
      <w:pPr>
        <w:spacing w:after="200" w:before="0" w:line="300"/>
        <w:ind w:left="360"/>
      </w:pPr>
      <w:r>
        <w:rPr>
          <w:rFonts w:ascii="Arial" w:cs="Arial" w:eastAsia="Arial" w:hAnsi="Arial"/>
          <w:b/>
          <w:bCs/>
          <w:sz w:val="22"/>
          <w:szCs w:val="22"/>
        </w:rPr>
        <w:t xml:space="preserve">Federal (2025): </w:t>
      </w:r>
      <w:r>
        <w:rPr>
          <w:rFonts w:ascii="Arial" w:cs="Arial" w:eastAsia="Arial" w:hAnsi="Arial"/>
          <w:b w:val="false"/>
          <w:bCs w:val="false"/>
          <w:i w:val="false"/>
          <w:iCs w:val="false"/>
          <w:sz w:val="22"/>
          <w:szCs w:val="22"/>
        </w:rPr>
        <w:t xml:space="preserve">230+ environmental and public-interest groups asked Congress to halt approvals for new data centers until federal rules address energy use, water needs, local impacts, and emissions.</w:t>
      </w:r>
    </w:p>
    <w:p>
      <w:pPr>
        <w:spacing w:after="120" w:before="0" w:line="300"/>
        <w:ind w:left="720"/>
      </w:pPr>
      <w:r>
        <w:rPr>
          <w:rFonts w:ascii="Arial" w:cs="Arial" w:eastAsia="Arial" w:hAnsi="Arial"/>
          <w:b w:val="false"/>
          <w:bCs w:val="false"/>
          <w:i/>
          <w:iCs/>
          <w:sz w:val="20"/>
          <w:szCs w:val="20"/>
        </w:rPr>
        <w:t xml:space="preserve">Daily Yonder / Maine Morning Star, “As Data Centers Look to Rural New England, Maine Considers a Moratorium,” February 23, 2026; Signal Ohio, “Ohio’s data center boom is running into political resistance,” 2025; Carbon Credits, “Environmental Groups Urge U.S. Congress to Pause Data Center Growth,” 2025.</w:t>
      </w:r>
    </w:p>
    <w:p>
      <w:pPr>
        <w:spacing w:after="120" w:before="200" w:line="300"/>
      </w:pPr>
      <w:r>
        <w:rPr>
          <w:rFonts w:ascii="Arial" w:cs="Arial" w:eastAsia="Arial" w:hAnsi="Arial"/>
          <w:b/>
          <w:bCs/>
          <w:i w:val="false"/>
          <w:iCs w:val="false"/>
          <w:color w:val="2E75B6"/>
          <w:sz w:val="24"/>
          <w:szCs w:val="24"/>
        </w:rPr>
        <w:t xml:space="preserve">D. What the National Evidence Tells Us</w:t>
      </w:r>
    </w:p>
    <w:p>
      <w:pPr>
        <w:spacing w:after="160" w:before="0" w:line="300"/>
      </w:pPr>
      <w:r>
        <w:rPr>
          <w:rFonts w:ascii="Arial" w:cs="Arial" w:eastAsia="Arial" w:hAnsi="Arial"/>
          <w:b w:val="false"/>
          <w:bCs w:val="false"/>
          <w:i w:val="false"/>
          <w:iCs w:val="false"/>
          <w:sz w:val="22"/>
          <w:szCs w:val="22"/>
        </w:rPr>
        <w:t xml:space="preserve">Jerome County’s survey results are not an outlier. They are consistent with the documented national pattern:</w:t>
      </w:r>
    </w:p>
    <w:p>
      <w:pPr>
        <w:spacing w:after="120" w:before="0" w:line="300"/>
        <w:ind w:left="360"/>
      </w:pPr>
      <w:r>
        <w:rPr>
          <w:rFonts w:ascii="Arial" w:cs="Arial" w:eastAsia="Arial" w:hAnsi="Arial"/>
          <w:b/>
          <w:bCs/>
          <w:sz w:val="22"/>
          <w:szCs w:val="22"/>
        </w:rPr>
        <w:t xml:space="preserve">Rural communities oppose large-scale energy in agricultural areas</w:t>
      </w:r>
      <w:r>
        <w:rPr>
          <w:rFonts w:ascii="Arial" w:cs="Arial" w:eastAsia="Arial" w:hAnsi="Arial"/>
          <w:b w:val="false"/>
          <w:bCs w:val="false"/>
          <w:i w:val="false"/>
          <w:iCs w:val="false"/>
          <w:sz w:val="22"/>
          <w:szCs w:val="22"/>
        </w:rPr>
        <w:t xml:space="preserve"> at rates far exceeding urban populations. Jerome County’s 93.7% opposition to large-scale energy in ag zones is consistent with the national rural pattern of rejection.</w:t>
      </w:r>
    </w:p>
    <w:p>
      <w:pPr>
        <w:spacing w:after="120" w:before="0" w:line="300"/>
        <w:ind w:left="360"/>
      </w:pPr>
      <w:r>
        <w:rPr>
          <w:rFonts w:ascii="Arial" w:cs="Arial" w:eastAsia="Arial" w:hAnsi="Arial"/>
          <w:b/>
          <w:bCs/>
          <w:sz w:val="22"/>
          <w:szCs w:val="22"/>
        </w:rPr>
        <w:t xml:space="preserve">Data center opposition is accelerating</w:t>
      </w:r>
      <w:r>
        <w:rPr>
          <w:rFonts w:ascii="Arial" w:cs="Arial" w:eastAsia="Arial" w:hAnsi="Arial"/>
          <w:b w:val="false"/>
          <w:bCs w:val="false"/>
          <w:i w:val="false"/>
          <w:iCs w:val="false"/>
          <w:sz w:val="22"/>
          <w:szCs w:val="22"/>
        </w:rPr>
        <w:t xml:space="preserve">, with $64 billion in projects blocked or delayed. Jerome County’s inclusion of data center provisions in its ordinance is forward-looking policy that addresses a documented and growing threat.</w:t>
      </w:r>
    </w:p>
    <w:p>
      <w:pPr>
        <w:spacing w:after="120" w:before="0" w:line="300"/>
        <w:ind w:left="360"/>
      </w:pPr>
      <w:r>
        <w:rPr>
          <w:rFonts w:ascii="Arial" w:cs="Arial" w:eastAsia="Arial" w:hAnsi="Arial"/>
          <w:b/>
          <w:bCs/>
          <w:sz w:val="22"/>
          <w:szCs w:val="22"/>
        </w:rPr>
        <w:t xml:space="preserve">The legislative trend is toward restriction</w:t>
      </w:r>
      <w:r>
        <w:rPr>
          <w:rFonts w:ascii="Arial" w:cs="Arial" w:eastAsia="Arial" w:hAnsi="Arial"/>
          <w:b w:val="false"/>
          <w:bCs w:val="false"/>
          <w:i w:val="false"/>
          <w:iCs w:val="false"/>
          <w:sz w:val="22"/>
          <w:szCs w:val="22"/>
        </w:rPr>
        <w:t xml:space="preserve">. Idaho’s own SB 1133, SB 1341, and HCR032 (2026) all point toward stronger protections. 22 states have introduced data center regulation. 14+ states have enacted or proposed moratoriums. Jerome County’s ordinance package is consistent with this direction.</w:t>
      </w:r>
    </w:p>
    <w:p>
      <w:pPr>
        <w:spacing w:after="200" w:before="0" w:line="300"/>
        <w:ind w:left="360"/>
      </w:pPr>
      <w:r>
        <w:rPr>
          <w:rFonts w:ascii="Arial" w:cs="Arial" w:eastAsia="Arial" w:hAnsi="Arial"/>
          <w:b/>
          <w:bCs/>
          <w:sz w:val="22"/>
          <w:szCs w:val="22"/>
        </w:rPr>
        <w:t xml:space="preserve">Community notification and transparency are universal demands</w:t>
      </w:r>
      <w:r>
        <w:rPr>
          <w:rFonts w:ascii="Arial" w:cs="Arial" w:eastAsia="Arial" w:hAnsi="Arial"/>
          <w:b w:val="false"/>
          <w:bCs w:val="false"/>
          <w:i w:val="false"/>
          <w:iCs w:val="false"/>
          <w:sz w:val="22"/>
          <w:szCs w:val="22"/>
        </w:rPr>
        <w:t xml:space="preserve">. The industry’s use of NDAs in 80% of Virginia municipalities, and the California governor’s veto of water disclosure requirements, have only intensified public demand for transparency. Jerome County’s county-wide notification requirement addresses this directly.</w:t>
      </w:r>
    </w:p>
    <w:p>
      <w:pPr>
        <w:spacing w:after="200" w:before="0" w:line="300"/>
      </w:pPr>
      <w:r>
        <w:rPr>
          <w:rFonts w:ascii="Arial" w:cs="Arial" w:eastAsia="Arial" w:hAnsi="Arial"/>
          <w:b w:val="false"/>
          <w:bCs w:val="false"/>
          <w:i w:val="false"/>
          <w:iCs w:val="false"/>
          <w:sz w:val="22"/>
          <w:szCs w:val="22"/>
        </w:rPr>
        <w:t xml:space="preserve"/>
      </w:r>
    </w:p>
    <w:p>
      <w:pPr>
        <w:pBdr>
          <w:top w:val="single" w:color="2E75B6" w:sz="4" w:space="8"/>
        </w:pBdr>
        <w:spacing w:after="100" w:before="200"/>
        <w:jc w:val="center"/>
      </w:pPr>
      <w:r>
        <w:rPr>
          <w:rFonts w:ascii="Arial" w:cs="Arial" w:eastAsia="Arial" w:hAnsi="Arial"/>
          <w:b w:val="false"/>
          <w:bCs w:val="false"/>
          <w:i/>
          <w:iCs/>
          <w:color w:val="666666"/>
          <w:sz w:val="18"/>
          <w:szCs w:val="18"/>
        </w:rPr>
        <w:t xml:space="preserve">Prepared by Jeff Pierson, Confidential Solutions LLC  |  713 East Ave C, Jerome, Idaho  |  March 2026</w:t>
      </w:r>
    </w:p>
    <w:p>
      <w:pPr>
        <w:pageBreakBefore/>
        <w:spacing w:after="120"/>
        <w:jc w:val="center"/>
      </w:pPr>
      <w:r>
        <w:rPr>
          <w:rFonts w:ascii="Arial" w:cs="Arial" w:eastAsia="Arial" w:hAnsi="Arial"/>
          <w:b/>
          <w:bCs/>
          <w:color w:val="1F3864"/>
          <w:sz w:val="24"/>
          <w:szCs w:val="24"/>
        </w:rPr>
        <w:t xml:space="preserve">DOCUMENT REVISION HISTORY</w:t>
      </w:r>
    </w:p>
    <w:p>
      <w:pPr>
        <w:spacing w:after="80"/>
        <w:jc w:val="center"/>
      </w:pPr>
      <w:r>
        <w:rPr>
          <w:rFonts w:ascii="Arial" w:cs="Arial" w:eastAsia="Arial" w:hAnsi="Arial"/>
          <w:i/>
          <w:iCs/>
          <w:color w:val="2E75B6"/>
          <w:sz w:val="20"/>
          <w:szCs w:val="20"/>
        </w:rPr>
        <w:t xml:space="preserve">Supplement: Community Survey Evidence &amp; National Public Opinion</w:t>
      </w:r>
    </w:p>
    <w:p>
      <w:pPr>
        <w:pBdr>
          <w:bottom w:val="single" w:color="2E75B6" w:sz="4" w:space="4"/>
        </w:pBd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1000"/>
        <w:gridCol w:w="5160"/>
        <w:gridCol w:w="2000"/>
      </w:tblGrid>
      <w:tr>
        <w:tc>
          <w:tcPr>
            <w:tcW w:type="dxa" w:w="12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Version</w:t>
            </w:r>
          </w:p>
        </w:tc>
        <w:tc>
          <w:tcPr>
            <w:tcW w:type="dxa" w:w="1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Date</w:t>
            </w:r>
          </w:p>
        </w:tc>
        <w:tc>
          <w:tcPr>
            <w:tcW w:type="dxa" w:w="516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Changes / Updates</w:t>
            </w:r>
          </w:p>
        </w:tc>
        <w:tc>
          <w:tcPr>
            <w:tcW w:type="dxa" w:w="2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Reviewed By</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v5</w:t>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Mar 22, 2026</w:t>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Initial creation: Complete survey results (10 questions), national public opinion context (Pew, AP-NORC, Data Center Watch, moratorium movement)</w:t>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v6</w:t>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Mar 23, 2026</w:t>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Added IdahoEnergy logo to footer; package expanded from 14 to 17 documents</w:t>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bl>
    <w:p>
      <w:pPr>
        <w:spacing w:after="120" w:before="200"/>
      </w:pPr>
      <w:r>
        <w:rPr>
          <w:rFonts w:ascii="Arial" w:cs="Arial" w:eastAsia="Arial" w:hAnsi="Arial"/>
          <w:b/>
          <w:bCs/>
          <w:color w:val="1F3864"/>
          <w:sz w:val="20"/>
          <w:szCs w:val="20"/>
        </w:rPr>
        <w:t xml:space="preserve">REVIEW NOTES</w:t>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E75B6" w:sz="4" w:space="4"/>
      </w:pBdr>
      <w:tabs>
        <w:tab w:val="right" w:pos="9026"/>
      </w:tabs>
    </w:pPr>
    <w:r>
      <w:drawing>
        <wp:inline distT="0" distB="0" distL="0" distR="0">
          <wp:extent cx="285750" cy="304800"/>
          <wp:effectExtent t="0" r="0" b="0" l="0"/>
          <wp:docPr id="1" name="logo" descr="Idaho Energy Reform Logo" title="Idaho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304800"/>
                  </a:xfrm>
                  <a:prstGeom prst="rect">
                    <a:avLst/>
                  </a:prstGeom>
                </pic:spPr>
              </pic:pic>
            </a:graphicData>
          </a:graphic>
        </wp:inline>
      </w:drawing>
    </w:r>
    <w:r>
      <w:rPr>
        <w:rFonts w:ascii="Arial" w:cs="Arial" w:eastAsia="Arial" w:hAnsi="Arial"/>
        <w:b w:val="false"/>
        <w:bCs w:val="false"/>
        <w:i w:val="false"/>
        <w:iCs w:val="false"/>
        <w:color w:val="666666"/>
        <w:sz w:val="16"/>
        <w:szCs w:val="16"/>
      </w:rPr>
      <w:t xml:space="preserve">  Pierson — Survey &amp; Public Opinion Supplement</w:t>
    </w:r>
    <w:r>
      <w:rPr>
        <w:rFonts w:ascii="Arial" w:cs="Arial" w:eastAsia="Arial" w:hAnsi="Arial"/>
        <w:sz w:val="16"/>
        <w:szCs w:val="16"/>
      </w:rPr>
      <w:t xml:space="preserve">	</w:t>
    </w:r>
    <w:r>
      <w:rPr>
        <w:rFonts w:ascii="Arial" w:cs="Arial" w:eastAsia="Arial" w:hAnsi="Arial"/>
        <w:b w:val="false"/>
        <w:bCs w:val="false"/>
        <w:i w:val="false"/>
        <w:iCs w:val="false"/>
        <w:color w:val="666666"/>
        <w:sz w:val="16"/>
        <w:szCs w:val="16"/>
      </w:rPr>
      <w:t xml:space="preserve">March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E75B6" w:sz="4" w:space="4"/>
      </w:pBdr>
      <w:jc w:val="right"/>
    </w:pPr>
    <w:r>
      <w:rPr>
        <w:rFonts w:ascii="Arial" w:cs="Arial" w:eastAsia="Arial" w:hAnsi="Arial"/>
        <w:b w:val="false"/>
        <w:bCs w:val="false"/>
        <w:i/>
        <w:iCs/>
        <w:color w:val="666666"/>
        <w:sz w:val="16"/>
        <w:szCs w:val="16"/>
      </w:rPr>
      <w:t xml:space="preserve">JEROME COUNTY ENERGY ORDINANCE REFORM — SURVEY &amp; PUBLIC OPINION SUPPLEMENT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9ca865e1c5a7b0148e78c60e0124e67a684ba821.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2026-03-23T07:48:02.563Z</dcterms:created>
  <dcterms:modified xsi:type="dcterms:W3CDTF">2026-03-23T07:48:02.563Z</dcterms:modified>
</cp:coreProperties>
</file>

<file path=docProps/custom.xml><?xml version="1.0" encoding="utf-8"?>
<Properties xmlns="http://schemas.openxmlformats.org/officeDocument/2006/custom-properties" xmlns:vt="http://schemas.openxmlformats.org/officeDocument/2006/docPropsVTypes"/>
</file>