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6"/>
          <w:szCs w:val="26"/>
        </w:rPr>
        <w:t xml:space="preserve">Supplement: Water Resources, Utility Rate Impacts, and Infrastructure Vulnerability</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50" w:before="0" w:line="300"/>
      </w:pPr>
      <w:r>
        <w:rPr>
          <w:rFonts w:ascii="Arial" w:cs="Arial" w:eastAsia="Arial" w:hAnsi="Arial"/>
          <w:b w:val="false"/>
          <w:bCs w:val="false"/>
          <w:i w:val="false"/>
          <w:iCs w:val="false"/>
          <w:sz w:val="22"/>
          <w:szCs w:val="22"/>
        </w:rPr>
        <w:t xml:space="preserve">This supplement to the Jerome County Energy Ordinance Reform package documents the water resource, utility rate, and infrastructure vulnerability concerns that support the county’s restrictive posture toward large-scale energy facilities and data center developments. The evidence presented here draws on federal agency data, state regulatory actions, peer-reviewed research, and investigative reporting to demonstrate that these concerns are not speculative—they are documented, measurable, and accelerating nationwide.</w:t>
      </w:r>
    </w:p>
    <w:p>
      <w:pPr>
        <w:spacing w:after="200" w:before="300" w:line="300"/>
      </w:pPr>
      <w:r>
        <w:rPr>
          <w:rFonts w:ascii="Arial" w:cs="Arial" w:eastAsia="Arial" w:hAnsi="Arial"/>
          <w:b/>
          <w:bCs/>
          <w:i w:val="false"/>
          <w:iCs w:val="false"/>
          <w:color w:val="1F3864"/>
          <w:sz w:val="28"/>
          <w:szCs w:val="28"/>
        </w:rPr>
        <w:t xml:space="preserve">I. Idaho’s Water Crisis: The Eastern Snake Plain Aquifer</w:t>
      </w:r>
    </w:p>
    <w:p>
      <w:pPr>
        <w:spacing w:after="160" w:before="0" w:line="300"/>
      </w:pPr>
      <w:r>
        <w:rPr>
          <w:rFonts w:ascii="Arial" w:cs="Arial" w:eastAsia="Arial" w:hAnsi="Arial"/>
          <w:b w:val="false"/>
          <w:bCs w:val="false"/>
          <w:i w:val="false"/>
          <w:iCs w:val="false"/>
          <w:sz w:val="22"/>
          <w:szCs w:val="22"/>
        </w:rPr>
        <w:t xml:space="preserve">Jerome County sits atop the </w:t>
      </w:r>
      <w:r>
        <w:rPr>
          <w:rFonts w:ascii="Arial" w:cs="Arial" w:eastAsia="Arial" w:hAnsi="Arial"/>
          <w:b/>
          <w:bCs/>
          <w:sz w:val="22"/>
          <w:szCs w:val="22"/>
        </w:rPr>
        <w:t xml:space="preserve">Eastern Snake Plain Aquifer (ESPA)</w:t>
      </w:r>
      <w:r>
        <w:rPr>
          <w:rFonts w:ascii="Arial" w:cs="Arial" w:eastAsia="Arial" w:hAnsi="Arial"/>
          <w:b w:val="false"/>
          <w:bCs w:val="false"/>
          <w:i w:val="false"/>
          <w:iCs w:val="false"/>
          <w:sz w:val="22"/>
          <w:szCs w:val="22"/>
        </w:rPr>
        <w:t xml:space="preserve">—one of the most contested groundwater systems in the American West. The county’s $639 million agricultural economy depends entirely on this aquifer and the surface water systems it feeds. Any additional large-scale water demand—whether from data center cooling or energy facility construction and maintenance—directly competes with the agricultural water rights that sustain the county’s economic base.</w:t>
      </w:r>
    </w:p>
    <w:p>
      <w:pPr>
        <w:spacing w:after="120" w:before="200" w:line="300"/>
      </w:pPr>
      <w:r>
        <w:rPr>
          <w:rFonts w:ascii="Arial" w:cs="Arial" w:eastAsia="Arial" w:hAnsi="Arial"/>
          <w:b/>
          <w:bCs/>
          <w:i w:val="false"/>
          <w:iCs w:val="false"/>
          <w:color w:val="2E75B6"/>
          <w:sz w:val="24"/>
          <w:szCs w:val="24"/>
        </w:rPr>
        <w:t xml:space="preserve">A. The 2024–2025 Curtailment Crisis</w:t>
      </w:r>
    </w:p>
    <w:p>
      <w:pPr>
        <w:spacing w:after="160" w:before="0" w:line="300"/>
      </w:pPr>
      <w:r>
        <w:rPr>
          <w:rFonts w:ascii="Arial" w:cs="Arial" w:eastAsia="Arial" w:hAnsi="Arial"/>
          <w:b w:val="false"/>
          <w:bCs w:val="false"/>
          <w:i w:val="false"/>
          <w:iCs w:val="false"/>
          <w:sz w:val="22"/>
          <w:szCs w:val="22"/>
        </w:rPr>
        <w:t xml:space="preserve">In 2024, the Idaho Department of Water Resources (IDWR) identified a </w:t>
      </w:r>
      <w:r>
        <w:rPr>
          <w:rFonts w:ascii="Arial" w:cs="Arial" w:eastAsia="Arial" w:hAnsi="Arial"/>
          <w:b/>
          <w:bCs/>
          <w:sz w:val="22"/>
          <w:szCs w:val="22"/>
        </w:rPr>
        <w:t xml:space="preserve">74,000 acre-foot shortfall</w:t>
      </w:r>
      <w:r>
        <w:rPr>
          <w:rFonts w:ascii="Arial" w:cs="Arial" w:eastAsia="Arial" w:hAnsi="Arial"/>
          <w:b w:val="false"/>
          <w:bCs w:val="false"/>
          <w:i w:val="false"/>
          <w:iCs w:val="false"/>
          <w:sz w:val="22"/>
          <w:szCs w:val="22"/>
        </w:rPr>
        <w:t xml:space="preserve"> in the ESPA—triggering the most aggressive curtailment order in Idaho history. By July 2025, the shortfall had grown to </w:t>
      </w:r>
      <w:r>
        <w:rPr>
          <w:rFonts w:ascii="Arial" w:cs="Arial" w:eastAsia="Arial" w:hAnsi="Arial"/>
          <w:b/>
          <w:bCs/>
          <w:sz w:val="22"/>
          <w:szCs w:val="22"/>
        </w:rPr>
        <w:t xml:space="preserve">75,300 acre-feet</w:t>
      </w:r>
      <w:r>
        <w:rPr>
          <w:rFonts w:ascii="Arial" w:cs="Arial" w:eastAsia="Arial" w:hAnsi="Arial"/>
          <w:b w:val="false"/>
          <w:bCs w:val="false"/>
          <w:i w:val="false"/>
          <w:iCs w:val="false"/>
          <w:sz w:val="22"/>
          <w:szCs w:val="22"/>
        </w:rPr>
        <w:t xml:space="preserve">, with IDWR ordering curtailment of all junior groundwater rights with priority dates after October 11, 1900—the </w:t>
      </w:r>
      <w:r>
        <w:rPr>
          <w:rFonts w:ascii="Arial" w:cs="Arial" w:eastAsia="Arial" w:hAnsi="Arial"/>
          <w:b/>
          <w:bCs/>
          <w:sz w:val="22"/>
          <w:szCs w:val="22"/>
        </w:rPr>
        <w:t xml:space="preserve">earliest cutoff date ever established</w:t>
      </w:r>
      <w:r>
        <w:rPr>
          <w:rFonts w:ascii="Arial" w:cs="Arial" w:eastAsia="Arial" w:hAnsi="Arial"/>
          <w:b w:val="false"/>
          <w:bCs w:val="false"/>
          <w:i w:val="false"/>
          <w:iCs w:val="false"/>
          <w:sz w:val="22"/>
          <w:szCs w:val="22"/>
        </w:rPr>
        <w:t xml:space="preserve"> under the Methodology Order.</w:t>
      </w:r>
    </w:p>
    <w:p>
      <w:pPr>
        <w:spacing w:after="120" w:before="0" w:line="300"/>
        <w:ind w:left="720"/>
      </w:pPr>
      <w:r>
        <w:rPr>
          <w:rFonts w:ascii="Arial" w:cs="Arial" w:eastAsia="Arial" w:hAnsi="Arial"/>
          <w:b w:val="false"/>
          <w:bCs w:val="false"/>
          <w:i/>
          <w:iCs/>
          <w:sz w:val="20"/>
          <w:szCs w:val="20"/>
        </w:rPr>
        <w:t xml:space="preserve">IDWR, Director’s Shortfall Determination (July 10, 2025); Capital Press, “Eastern Snake water rights impacts increase” (July 11, 2025).</w:t>
      </w:r>
    </w:p>
    <w:p>
      <w:pPr>
        <w:spacing w:after="160" w:before="0" w:line="300"/>
      </w:pPr>
      <w:r>
        <w:rPr>
          <w:rFonts w:ascii="Arial" w:cs="Arial" w:eastAsia="Arial" w:hAnsi="Arial"/>
          <w:b w:val="false"/>
          <w:bCs w:val="false"/>
          <w:i w:val="false"/>
          <w:iCs w:val="false"/>
          <w:sz w:val="22"/>
          <w:szCs w:val="22"/>
        </w:rPr>
        <w:t xml:space="preserve">Under the 2024 Water Settlement, groundwater districts committed to delivering </w:t>
      </w:r>
      <w:r>
        <w:rPr>
          <w:rFonts w:ascii="Arial" w:cs="Arial" w:eastAsia="Arial" w:hAnsi="Arial"/>
          <w:b/>
          <w:bCs/>
          <w:sz w:val="22"/>
          <w:szCs w:val="22"/>
        </w:rPr>
        <w:t xml:space="preserve">75,000 acre-feet of water annually</w:t>
      </w:r>
      <w:r>
        <w:rPr>
          <w:rFonts w:ascii="Arial" w:cs="Arial" w:eastAsia="Arial" w:hAnsi="Arial"/>
          <w:b w:val="false"/>
          <w:bCs w:val="false"/>
          <w:i w:val="false"/>
          <w:iCs w:val="false"/>
          <w:sz w:val="22"/>
          <w:szCs w:val="22"/>
        </w:rPr>
        <w:t xml:space="preserve"> to the Surface Water Coalition to avoid curtailment. This mitigation obligation represents water that must be conserved, recharged, or otherwise made available—leaving zero margin for new large-scale industrial water demands.</w:t>
      </w:r>
    </w:p>
    <w:p>
      <w:pPr>
        <w:spacing w:after="120" w:before="200" w:line="300"/>
      </w:pPr>
      <w:r>
        <w:rPr>
          <w:rFonts w:ascii="Arial" w:cs="Arial" w:eastAsia="Arial" w:hAnsi="Arial"/>
          <w:b/>
          <w:bCs/>
          <w:i w:val="false"/>
          <w:iCs w:val="false"/>
          <w:color w:val="2E75B6"/>
          <w:sz w:val="24"/>
          <w:szCs w:val="24"/>
        </w:rPr>
        <w:t xml:space="preserve">B. What This Means for Jerome County</w:t>
      </w:r>
    </w:p>
    <w:p>
      <w:pPr>
        <w:spacing w:after="160" w:before="0" w:line="300"/>
      </w:pPr>
      <w:r>
        <w:rPr>
          <w:rFonts w:ascii="Arial" w:cs="Arial" w:eastAsia="Arial" w:hAnsi="Arial"/>
          <w:b w:val="false"/>
          <w:bCs w:val="false"/>
          <w:i w:val="false"/>
          <w:iCs w:val="false"/>
          <w:sz w:val="22"/>
          <w:szCs w:val="22"/>
        </w:rPr>
        <w:t xml:space="preserve">Jerome County’s agricultural water users are already operating under curtailment pressure. The addition of a single hyperscale data center consuming 100,000+ gallons per day—the threshold that triggers regulation under Chapter 11—would be the equivalent of adding a small municipality’s water demand to an aquifer system already in deficit. Multiple data centers would compound this pressure exponentially.</w:t>
      </w:r>
    </w:p>
    <w:p>
      <w:pPr>
        <w:spacing w:after="160" w:before="0" w:line="300"/>
      </w:pPr>
      <w:r>
        <w:rPr>
          <w:rFonts w:ascii="Arial" w:cs="Arial" w:eastAsia="Arial" w:hAnsi="Arial"/>
          <w:b w:val="false"/>
          <w:bCs w:val="false"/>
          <w:i w:val="false"/>
          <w:iCs w:val="false"/>
          <w:sz w:val="22"/>
          <w:szCs w:val="22"/>
        </w:rPr>
        <w:t xml:space="preserve">The ESPA Area of Common Ground Water Supply boundaries were updated by </w:t>
      </w:r>
      <w:r>
        <w:rPr>
          <w:rFonts w:ascii="Arial" w:cs="Arial" w:eastAsia="Arial" w:hAnsi="Arial"/>
          <w:b/>
          <w:bCs/>
          <w:sz w:val="22"/>
          <w:szCs w:val="22"/>
        </w:rPr>
        <w:t xml:space="preserve">Senate Bill 1341 (2024 Legislative Session)</w:t>
      </w:r>
      <w:r>
        <w:rPr>
          <w:rFonts w:ascii="Arial" w:cs="Arial" w:eastAsia="Arial" w:hAnsi="Arial"/>
          <w:b w:val="false"/>
          <w:bCs w:val="false"/>
          <w:i w:val="false"/>
          <w:iCs w:val="false"/>
          <w:sz w:val="22"/>
          <w:szCs w:val="22"/>
        </w:rPr>
        <w:t xml:space="preserve">, effective July 1, 2024, reflecting the state’s recognition that groundwater management in this region requires tighter regulatory controls—not additional industrial demand.</w:t>
      </w:r>
    </w:p>
    <w:p>
      <w:pPr>
        <w:spacing w:after="200" w:before="300" w:line="300"/>
      </w:pPr>
      <w:r>
        <w:rPr>
          <w:rFonts w:ascii="Arial" w:cs="Arial" w:eastAsia="Arial" w:hAnsi="Arial"/>
          <w:b/>
          <w:bCs/>
          <w:i w:val="false"/>
          <w:iCs w:val="false"/>
          <w:color w:val="1F3864"/>
          <w:sz w:val="28"/>
          <w:szCs w:val="28"/>
        </w:rPr>
        <w:t xml:space="preserve">II. Data Center Water Consumption: Scale and Consequences</w:t>
      </w:r>
    </w:p>
    <w:p>
      <w:pPr>
        <w:spacing w:after="160" w:before="0" w:line="300"/>
      </w:pPr>
      <w:r>
        <w:rPr>
          <w:rFonts w:ascii="Arial" w:cs="Arial" w:eastAsia="Arial" w:hAnsi="Arial"/>
          <w:b w:val="false"/>
          <w:bCs w:val="false"/>
          <w:i w:val="false"/>
          <w:iCs w:val="false"/>
          <w:sz w:val="22"/>
          <w:szCs w:val="22"/>
        </w:rPr>
        <w:t xml:space="preserve">Large data centers are among the most water-intensive industrial facilities in operation. A single hyperscale data center can consume </w:t>
      </w:r>
      <w:r>
        <w:rPr>
          <w:rFonts w:ascii="Arial" w:cs="Arial" w:eastAsia="Arial" w:hAnsi="Arial"/>
          <w:b/>
          <w:bCs/>
          <w:sz w:val="22"/>
          <w:szCs w:val="22"/>
        </w:rPr>
        <w:t xml:space="preserve">up to 5 million gallons of water per day</w:t>
      </w:r>
      <w:r>
        <w:rPr>
          <w:rFonts w:ascii="Arial" w:cs="Arial" w:eastAsia="Arial" w:hAnsi="Arial"/>
          <w:b w:val="false"/>
          <w:bCs w:val="false"/>
          <w:i w:val="false"/>
          <w:iCs w:val="false"/>
          <w:sz w:val="22"/>
          <w:szCs w:val="22"/>
        </w:rPr>
        <w:t xml:space="preserve">—equivalent to the water use of a town of 10,000 to 50,000 people. Nationally, data centers consumed approximately </w:t>
      </w:r>
      <w:r>
        <w:rPr>
          <w:rFonts w:ascii="Arial" w:cs="Arial" w:eastAsia="Arial" w:hAnsi="Arial"/>
          <w:b/>
          <w:bCs/>
          <w:sz w:val="22"/>
          <w:szCs w:val="22"/>
        </w:rPr>
        <w:t xml:space="preserve">66 billion liters of water directly in 2023</w:t>
      </w:r>
      <w:r>
        <w:rPr>
          <w:rFonts w:ascii="Arial" w:cs="Arial" w:eastAsia="Arial" w:hAnsi="Arial"/>
          <w:b w:val="false"/>
          <w:bCs w:val="false"/>
          <w:i w:val="false"/>
          <w:iCs w:val="false"/>
          <w:sz w:val="22"/>
          <w:szCs w:val="22"/>
        </w:rPr>
        <w:t xml:space="preserve">, and projections reach </w:t>
      </w:r>
      <w:r>
        <w:rPr>
          <w:rFonts w:ascii="Arial" w:cs="Arial" w:eastAsia="Arial" w:hAnsi="Arial"/>
          <w:b/>
          <w:bCs/>
          <w:sz w:val="22"/>
          <w:szCs w:val="22"/>
        </w:rPr>
        <w:t xml:space="preserve">150–300 billion liters annually by 2028</w:t>
      </w:r>
      <w:r>
        <w:rPr>
          <w:rFonts w:ascii="Arial" w:cs="Arial" w:eastAsia="Arial" w:hAnsi="Arial"/>
          <w:b w:val="false"/>
          <w:bCs w:val="false"/>
          <w:i w:val="false"/>
          <w:iCs w:val="false"/>
          <w:sz w:val="22"/>
          <w:szCs w:val="22"/>
        </w:rPr>
        <w:t xml:space="preserve">.</w:t>
      </w:r>
    </w:p>
    <w:p>
      <w:pPr>
        <w:spacing w:after="120" w:before="0" w:line="300"/>
        <w:ind w:left="720"/>
      </w:pPr>
      <w:r>
        <w:rPr>
          <w:rFonts w:ascii="Arial" w:cs="Arial" w:eastAsia="Arial" w:hAnsi="Arial"/>
          <w:b w:val="false"/>
          <w:bCs w:val="false"/>
          <w:i/>
          <w:iCs/>
          <w:sz w:val="20"/>
          <w:szCs w:val="20"/>
        </w:rPr>
        <w:t xml:space="preserve">S&amp;P Global, “Beneath the Surface: Water Stress in Data Centers” (2025); Apstech Advisors, “Data Center Water Consumption in the US” (2025).</w:t>
      </w:r>
    </w:p>
    <w:p>
      <w:pPr>
        <w:spacing w:after="120" w:before="200" w:line="300"/>
      </w:pPr>
      <w:r>
        <w:rPr>
          <w:rFonts w:ascii="Arial" w:cs="Arial" w:eastAsia="Arial" w:hAnsi="Arial"/>
          <w:b/>
          <w:bCs/>
          <w:i w:val="false"/>
          <w:iCs w:val="false"/>
          <w:color w:val="2E75B6"/>
          <w:sz w:val="24"/>
          <w:szCs w:val="24"/>
        </w:rPr>
        <w:t xml:space="preserve">A. Rural Communities Bear Disproportionate Impacts</w:t>
      </w:r>
    </w:p>
    <w:p>
      <w:pPr>
        <w:spacing w:after="160" w:before="0" w:line="300"/>
      </w:pPr>
      <w:r>
        <w:rPr>
          <w:rFonts w:ascii="Arial" w:cs="Arial" w:eastAsia="Arial" w:hAnsi="Arial"/>
          <w:b w:val="false"/>
          <w:bCs w:val="false"/>
          <w:i w:val="false"/>
          <w:iCs w:val="false"/>
          <w:sz w:val="22"/>
          <w:szCs w:val="22"/>
        </w:rPr>
        <w:t xml:space="preserve">The Brookings Institution documented that in rural communities, a single data center can become the </w:t>
      </w:r>
      <w:r>
        <w:rPr>
          <w:rFonts w:ascii="Arial" w:cs="Arial" w:eastAsia="Arial" w:hAnsi="Arial"/>
          <w:b/>
          <w:bCs/>
          <w:sz w:val="22"/>
          <w:szCs w:val="22"/>
        </w:rPr>
        <w:t xml:space="preserve">largest water consumer overnight</w:t>
      </w:r>
      <w:r>
        <w:rPr>
          <w:rFonts w:ascii="Arial" w:cs="Arial" w:eastAsia="Arial" w:hAnsi="Arial"/>
          <w:b w:val="false"/>
          <w:bCs w:val="false"/>
          <w:i w:val="false"/>
          <w:iCs w:val="false"/>
          <w:sz w:val="22"/>
          <w:szCs w:val="22"/>
        </w:rPr>
        <w:t xml:space="preserve">, overwhelming local water systems designed for agricultural and residential use. Local communities face lower water tables, depleted wells, competition for municipal water supplies, and reduced stream flows affecting agricultural operations and wetland ecosystems.</w:t>
      </w:r>
    </w:p>
    <w:p>
      <w:pPr>
        <w:spacing w:after="120" w:before="0" w:line="300"/>
        <w:ind w:left="720"/>
      </w:pPr>
      <w:r>
        <w:rPr>
          <w:rFonts w:ascii="Arial" w:cs="Arial" w:eastAsia="Arial" w:hAnsi="Arial"/>
          <w:b w:val="false"/>
          <w:bCs w:val="false"/>
          <w:i/>
          <w:iCs/>
          <w:sz w:val="20"/>
          <w:szCs w:val="20"/>
        </w:rPr>
        <w:t xml:space="preserve">Brookings Institution, “The Local Implications of Data Centers for Rural Communities in the US” (2025).</w:t>
      </w:r>
    </w:p>
    <w:p>
      <w:pPr>
        <w:spacing w:after="160" w:before="0" w:line="300"/>
      </w:pPr>
      <w:r>
        <w:rPr>
          <w:rFonts w:ascii="Arial" w:cs="Arial" w:eastAsia="Arial" w:hAnsi="Arial"/>
          <w:b w:val="false"/>
          <w:bCs w:val="false"/>
          <w:i w:val="false"/>
          <w:iCs w:val="false"/>
          <w:sz w:val="22"/>
          <w:szCs w:val="22"/>
        </w:rPr>
        <w:t xml:space="preserve">In rural Georgia, communities near Meta’s data centers report contaminated or depleted water supplies. In Delaware, a single proposed data center would consume </w:t>
      </w:r>
      <w:r>
        <w:rPr>
          <w:rFonts w:ascii="Arial" w:cs="Arial" w:eastAsia="Arial" w:hAnsi="Arial"/>
          <w:b/>
          <w:bCs/>
          <w:sz w:val="22"/>
          <w:szCs w:val="22"/>
        </w:rPr>
        <w:t xml:space="preserve">10 to 20 million gallons of water annually</w:t>
      </w:r>
      <w:r>
        <w:rPr>
          <w:rFonts w:ascii="Arial" w:cs="Arial" w:eastAsia="Arial" w:hAnsi="Arial"/>
          <w:b w:val="false"/>
          <w:bCs w:val="false"/>
          <w:i w:val="false"/>
          <w:iCs w:val="false"/>
          <w:sz w:val="22"/>
          <w:szCs w:val="22"/>
        </w:rPr>
        <w:t xml:space="preserve">. In Texas, data center water consumption is projected to grow from 49 billion gallons in 2025 to </w:t>
      </w:r>
      <w:r>
        <w:rPr>
          <w:rFonts w:ascii="Arial" w:cs="Arial" w:eastAsia="Arial" w:hAnsi="Arial"/>
          <w:b/>
          <w:bCs/>
          <w:sz w:val="22"/>
          <w:szCs w:val="22"/>
        </w:rPr>
        <w:t xml:space="preserve">399 billion gallons by 2030</w:t>
      </w:r>
      <w:r>
        <w:rPr>
          <w:rFonts w:ascii="Arial" w:cs="Arial" w:eastAsia="Arial" w:hAnsi="Arial"/>
          <w:b w:val="false"/>
          <w:bCs w:val="false"/>
          <w:i w:val="false"/>
          <w:iCs w:val="false"/>
          <w:sz w:val="22"/>
          <w:szCs w:val="22"/>
        </w:rPr>
        <w:t xml:space="preserve">—an eightfold increase in five years.</w:t>
      </w:r>
    </w:p>
    <w:p>
      <w:pPr>
        <w:spacing w:after="120" w:before="0" w:line="300"/>
        <w:ind w:left="720"/>
      </w:pPr>
      <w:r>
        <w:rPr>
          <w:rFonts w:ascii="Arial" w:cs="Arial" w:eastAsia="Arial" w:hAnsi="Arial"/>
          <w:b w:val="false"/>
          <w:bCs w:val="false"/>
          <w:i/>
          <w:iCs/>
          <w:sz w:val="20"/>
          <w:szCs w:val="20"/>
        </w:rPr>
        <w:t xml:space="preserve">The Current (Georgia), “Data centers consume massive amounts of water” (August 2025); Texas Observer, “The Texas AI Boom Is Outpacing Water Regulations” (2025); WHYY, “Proposed Delaware City data center” (2025).</w:t>
      </w:r>
    </w:p>
    <w:p>
      <w:pPr>
        <w:spacing w:after="120" w:before="200" w:line="300"/>
      </w:pPr>
      <w:r>
        <w:rPr>
          <w:rFonts w:ascii="Arial" w:cs="Arial" w:eastAsia="Arial" w:hAnsi="Arial"/>
          <w:b/>
          <w:bCs/>
          <w:i w:val="false"/>
          <w:iCs w:val="false"/>
          <w:color w:val="2E75B6"/>
          <w:sz w:val="24"/>
          <w:szCs w:val="24"/>
        </w:rPr>
        <w:t xml:space="preserve">B. Secrecy and Lack of Transparency</w:t>
      </w:r>
    </w:p>
    <w:p>
      <w:pPr>
        <w:spacing w:after="160" w:before="0" w:line="300"/>
      </w:pPr>
      <w:r>
        <w:rPr>
          <w:rFonts w:ascii="Arial" w:cs="Arial" w:eastAsia="Arial" w:hAnsi="Arial"/>
          <w:b w:val="false"/>
          <w:bCs w:val="false"/>
          <w:i w:val="false"/>
          <w:iCs w:val="false"/>
          <w:sz w:val="22"/>
          <w:szCs w:val="22"/>
        </w:rPr>
        <w:t xml:space="preserve">A critical concern is the industry’s resistance to transparency. Bluefield Research found that data center operators routinely refuse to disclose water consumption data. A review of 31 Virginia municipalities found that </w:t>
      </w:r>
      <w:r>
        <w:rPr>
          <w:rFonts w:ascii="Arial" w:cs="Arial" w:eastAsia="Arial" w:hAnsi="Arial"/>
          <w:b/>
          <w:bCs/>
          <w:sz w:val="22"/>
          <w:szCs w:val="22"/>
        </w:rPr>
        <w:t xml:space="preserve">25 (80%) had non-disclosure agreements (NDAs)</w:t>
      </w:r>
      <w:r>
        <w:rPr>
          <w:rFonts w:ascii="Arial" w:cs="Arial" w:eastAsia="Arial" w:hAnsi="Arial"/>
          <w:b w:val="false"/>
          <w:bCs w:val="false"/>
          <w:i w:val="false"/>
          <w:iCs w:val="false"/>
          <w:sz w:val="22"/>
          <w:szCs w:val="22"/>
        </w:rPr>
        <w:t xml:space="preserve"> with data center developers that limit public access to information about project scale, resource needs, and potential impacts. In October 2025, California Governor Newsom vetoed legislation that would have required data center operators to share water consumption reports with local water suppliers.</w:t>
      </w:r>
    </w:p>
    <w:p>
      <w:pPr>
        <w:spacing w:after="120" w:before="0" w:line="300"/>
        <w:ind w:left="720"/>
      </w:pPr>
      <w:r>
        <w:rPr>
          <w:rFonts w:ascii="Arial" w:cs="Arial" w:eastAsia="Arial" w:hAnsi="Arial"/>
          <w:b w:val="false"/>
          <w:bCs w:val="false"/>
          <w:i/>
          <w:iCs/>
          <w:sz w:val="20"/>
          <w:szCs w:val="20"/>
        </w:rPr>
        <w:t xml:space="preserve">Bluefield Research, “Data Center Water Secrecy Hurts Communities” (2025); CalMatters, “Big Tech blocks California data center rules” (December 2025); Yale Clean Energy Forum, “Regulating the Digital Giants” (November 2025).</w:t>
      </w:r>
    </w:p>
    <w:p>
      <w:pPr>
        <w:spacing w:after="160" w:before="0" w:line="300"/>
      </w:pPr>
      <w:r>
        <w:rPr>
          <w:rFonts w:ascii="Arial" w:cs="Arial" w:eastAsia="Arial" w:hAnsi="Arial"/>
          <w:b w:val="false"/>
          <w:bCs w:val="false"/>
          <w:i w:val="false"/>
          <w:iCs w:val="false"/>
          <w:sz w:val="22"/>
          <w:szCs w:val="22"/>
        </w:rPr>
        <w:t xml:space="preserve">This pattern of secrecy makes the notification and transparency requirements in the Jerome County ordinance package—including county-wide notification, full public application materials, and mandatory water impact assessments—not merely desirable but essential. The community survey confirms this: </w:t>
      </w:r>
      <w:r>
        <w:rPr>
          <w:rFonts w:ascii="Arial" w:cs="Arial" w:eastAsia="Arial" w:hAnsi="Arial"/>
          <w:b/>
          <w:bCs/>
          <w:sz w:val="22"/>
          <w:szCs w:val="22"/>
        </w:rPr>
        <w:t xml:space="preserve">90.8% of respondents support county-wide notification</w:t>
      </w:r>
      <w:r>
        <w:rPr>
          <w:rFonts w:ascii="Arial" w:cs="Arial" w:eastAsia="Arial" w:hAnsi="Arial"/>
          <w:b w:val="false"/>
          <w:bCs w:val="false"/>
          <w:i w:val="false"/>
          <w:iCs w:val="false"/>
          <w:sz w:val="22"/>
          <w:szCs w:val="22"/>
        </w:rPr>
        <w:t xml:space="preserve"> for all proposed energy and data center projects (JTown Beacon Community Survey, March 2026).</w:t>
      </w:r>
    </w:p>
    <w:p>
      <w:pPr>
        <w:spacing w:after="200" w:before="300" w:line="300"/>
      </w:pPr>
      <w:r>
        <w:rPr>
          <w:rFonts w:ascii="Arial" w:cs="Arial" w:eastAsia="Arial" w:hAnsi="Arial"/>
          <w:b/>
          <w:bCs/>
          <w:i w:val="false"/>
          <w:iCs w:val="false"/>
          <w:color w:val="1F3864"/>
          <w:sz w:val="28"/>
          <w:szCs w:val="28"/>
        </w:rPr>
        <w:t xml:space="preserve">III. Utility Rate Impacts: The Hidden Tax</w:t>
      </w:r>
    </w:p>
    <w:p>
      <w:pPr>
        <w:spacing w:after="160" w:before="0" w:line="300"/>
      </w:pPr>
      <w:r>
        <w:rPr>
          <w:rFonts w:ascii="Arial" w:cs="Arial" w:eastAsia="Arial" w:hAnsi="Arial"/>
          <w:b w:val="false"/>
          <w:bCs w:val="false"/>
          <w:i w:val="false"/>
          <w:iCs w:val="false"/>
          <w:sz w:val="22"/>
          <w:szCs w:val="22"/>
        </w:rPr>
        <w:t xml:space="preserve">The utility rate impact of large-scale energy and data center development is the least visible but most broadly distributed cost imposed on host communities. It affects </w:t>
      </w:r>
      <w:r>
        <w:rPr>
          <w:rFonts w:ascii="Arial" w:cs="Arial" w:eastAsia="Arial" w:hAnsi="Arial"/>
          <w:b/>
          <w:bCs/>
          <w:sz w:val="22"/>
          <w:szCs w:val="22"/>
        </w:rPr>
        <w:t xml:space="preserve">every ratepayer in the service territory</w:t>
      </w:r>
      <w:r>
        <w:rPr>
          <w:rFonts w:ascii="Arial" w:cs="Arial" w:eastAsia="Arial" w:hAnsi="Arial"/>
          <w:b w:val="false"/>
          <w:bCs w:val="false"/>
          <w:i w:val="false"/>
          <w:iCs w:val="false"/>
          <w:sz w:val="22"/>
          <w:szCs w:val="22"/>
        </w:rPr>
        <w:t xml:space="preserve">—not just adjacent landowners.</w:t>
      </w:r>
    </w:p>
    <w:p>
      <w:pPr>
        <w:spacing w:after="120" w:before="200" w:line="300"/>
      </w:pPr>
      <w:r>
        <w:rPr>
          <w:rFonts w:ascii="Arial" w:cs="Arial" w:eastAsia="Arial" w:hAnsi="Arial"/>
          <w:b/>
          <w:bCs/>
          <w:i w:val="false"/>
          <w:iCs w:val="false"/>
          <w:color w:val="2E75B6"/>
          <w:sz w:val="24"/>
          <w:szCs w:val="24"/>
        </w:rPr>
        <w:t xml:space="preserve">A. National Rate Increase Crisis</w:t>
      </w:r>
    </w:p>
    <w:p>
      <w:pPr>
        <w:spacing w:after="160" w:before="0" w:line="300"/>
      </w:pPr>
      <w:r>
        <w:rPr>
          <w:rFonts w:ascii="Arial" w:cs="Arial" w:eastAsia="Arial" w:hAnsi="Arial"/>
          <w:b w:val="false"/>
          <w:bCs w:val="false"/>
          <w:i w:val="false"/>
          <w:iCs w:val="false"/>
          <w:sz w:val="22"/>
          <w:szCs w:val="22"/>
        </w:rPr>
        <w:t xml:space="preserve">In the first half of 2025, utilities requested or secured </w:t>
      </w:r>
      <w:r>
        <w:rPr>
          <w:rFonts w:ascii="Arial" w:cs="Arial" w:eastAsia="Arial" w:hAnsi="Arial"/>
          <w:b/>
          <w:bCs/>
          <w:sz w:val="22"/>
          <w:szCs w:val="22"/>
        </w:rPr>
        <w:t xml:space="preserve">$29 billion in rate increases</w:t>
      </w:r>
      <w:r>
        <w:rPr>
          <w:rFonts w:ascii="Arial" w:cs="Arial" w:eastAsia="Arial" w:hAnsi="Arial"/>
          <w:b w:val="false"/>
          <w:bCs w:val="false"/>
          <w:i w:val="false"/>
          <w:iCs w:val="false"/>
          <w:sz w:val="22"/>
          <w:szCs w:val="22"/>
        </w:rPr>
        <w:t xml:space="preserve">—more than double the prior year. Average residential electricity rates have risen </w:t>
      </w:r>
      <w:r>
        <w:rPr>
          <w:rFonts w:ascii="Arial" w:cs="Arial" w:eastAsia="Arial" w:hAnsi="Arial"/>
          <w:b/>
          <w:bCs/>
          <w:sz w:val="22"/>
          <w:szCs w:val="22"/>
        </w:rPr>
        <w:t xml:space="preserve">37% nationally since 2020</w:t>
      </w:r>
      <w:r>
        <w:rPr>
          <w:rFonts w:ascii="Arial" w:cs="Arial" w:eastAsia="Arial" w:hAnsi="Arial"/>
          <w:b w:val="false"/>
          <w:bCs w:val="false"/>
          <w:i w:val="false"/>
          <w:iCs w:val="false"/>
          <w:sz w:val="22"/>
          <w:szCs w:val="22"/>
        </w:rPr>
        <w:t xml:space="preserve">. In areas with significant data center activity, the increases are far more severe: Virginia residents have experienced electricity price increases of </w:t>
      </w:r>
      <w:r>
        <w:rPr>
          <w:rFonts w:ascii="Arial" w:cs="Arial" w:eastAsia="Arial" w:hAnsi="Arial"/>
          <w:b/>
          <w:bCs/>
          <w:sz w:val="22"/>
          <w:szCs w:val="22"/>
        </w:rPr>
        <w:t xml:space="preserve">up to 267% over five years</w:t>
      </w:r>
      <w:r>
        <w:rPr>
          <w:rFonts w:ascii="Arial" w:cs="Arial" w:eastAsia="Arial" w:hAnsi="Arial"/>
          <w:b w:val="false"/>
          <w:bCs w:val="false"/>
          <w:i w:val="false"/>
          <w:iCs w:val="false"/>
          <w:sz w:val="22"/>
          <w:szCs w:val="22"/>
        </w:rPr>
        <w:t xml:space="preserve">.</w:t>
      </w:r>
    </w:p>
    <w:p>
      <w:pPr>
        <w:spacing w:after="120" w:before="0" w:line="300"/>
        <w:ind w:left="720"/>
      </w:pPr>
      <w:r>
        <w:rPr>
          <w:rFonts w:ascii="Arial" w:cs="Arial" w:eastAsia="Arial" w:hAnsi="Arial"/>
          <w:b w:val="false"/>
          <w:bCs w:val="false"/>
          <w:i/>
          <w:iCs/>
          <w:sz w:val="20"/>
          <w:szCs w:val="20"/>
        </w:rPr>
        <w:t xml:space="preserve">S&amp;P Global Market Intelligence, Regulatory Research Associates (2025); Fortune, “Your utility bills keep going up” (March 2026); Virginia SCC filings.</w:t>
      </w:r>
    </w:p>
    <w:p>
      <w:pPr>
        <w:spacing w:after="120" w:before="200" w:line="300"/>
      </w:pPr>
      <w:r>
        <w:rPr>
          <w:rFonts w:ascii="Arial" w:cs="Arial" w:eastAsia="Arial" w:hAnsi="Arial"/>
          <w:b/>
          <w:bCs/>
          <w:i w:val="false"/>
          <w:iCs w:val="false"/>
          <w:color w:val="2E75B6"/>
          <w:sz w:val="24"/>
          <w:szCs w:val="24"/>
        </w:rPr>
        <w:t xml:space="preserve">B. Data Centers as the Primary Driver</w:t>
      </w:r>
    </w:p>
    <w:p>
      <w:pPr>
        <w:spacing w:after="160" w:before="0" w:line="300"/>
      </w:pPr>
      <w:r>
        <w:rPr>
          <w:rFonts w:ascii="Arial" w:cs="Arial" w:eastAsia="Arial" w:hAnsi="Arial"/>
          <w:b w:val="false"/>
          <w:bCs w:val="false"/>
          <w:i w:val="false"/>
          <w:iCs w:val="false"/>
          <w:sz w:val="22"/>
          <w:szCs w:val="22"/>
        </w:rPr>
        <w:t xml:space="preserve">In 2007, data centers consumed 1.5% of U.S. electricity. By 2030, that figure is projected to exceed 12%. A 2024 Department of Energy report estimated that data center load growth has tripled over the past decade and will double or triple again by 2028. Data center demand drove an estimated </w:t>
      </w:r>
      <w:r>
        <w:rPr>
          <w:rFonts w:ascii="Arial" w:cs="Arial" w:eastAsia="Arial" w:hAnsi="Arial"/>
          <w:b/>
          <w:bCs/>
          <w:sz w:val="22"/>
          <w:szCs w:val="22"/>
        </w:rPr>
        <w:t xml:space="preserve">$9.3 billion increase in PJM capacity market prices</w:t>
      </w:r>
      <w:r>
        <w:rPr>
          <w:rFonts w:ascii="Arial" w:cs="Arial" w:eastAsia="Arial" w:hAnsi="Arial"/>
          <w:b w:val="false"/>
          <w:bCs w:val="false"/>
          <w:i w:val="false"/>
          <w:iCs w:val="false"/>
          <w:sz w:val="22"/>
          <w:szCs w:val="22"/>
        </w:rPr>
        <w:t xml:space="preserve"> in the 2025–26 auction alone, with average residential bills expected to rise $18/month in western Maryland and $16/month in Ohio.</w:t>
      </w:r>
    </w:p>
    <w:p>
      <w:pPr>
        <w:spacing w:after="120" w:before="0" w:line="300"/>
        <w:ind w:left="720"/>
      </w:pPr>
      <w:r>
        <w:rPr>
          <w:rFonts w:ascii="Arial" w:cs="Arial" w:eastAsia="Arial" w:hAnsi="Arial"/>
          <w:b w:val="false"/>
          <w:bCs w:val="false"/>
          <w:i/>
          <w:iCs/>
          <w:sz w:val="20"/>
          <w:szCs w:val="20"/>
        </w:rPr>
        <w:t xml:space="preserve">DOE, Data Center Energy Use Report (2024); PJM Interconnection, 2025–26 Base Residual Auction; EESI, “Data Center Power Demands Are Contributing to Higher Energy Bills” (2025).</w:t>
      </w:r>
    </w:p>
    <w:p>
      <w:pPr>
        <w:spacing w:after="120" w:before="200" w:line="300"/>
      </w:pPr>
      <w:r>
        <w:rPr>
          <w:rFonts w:ascii="Arial" w:cs="Arial" w:eastAsia="Arial" w:hAnsi="Arial"/>
          <w:b/>
          <w:bCs/>
          <w:i w:val="false"/>
          <w:iCs w:val="false"/>
          <w:color w:val="2E75B6"/>
          <w:sz w:val="24"/>
          <w:szCs w:val="24"/>
        </w:rPr>
        <w:t xml:space="preserve">C. State Legislative Response</w:t>
      </w:r>
    </w:p>
    <w:p>
      <w:pPr>
        <w:spacing w:after="160" w:before="0" w:line="300"/>
      </w:pPr>
      <w:r>
        <w:rPr>
          <w:rFonts w:ascii="Arial" w:cs="Arial" w:eastAsia="Arial" w:hAnsi="Arial"/>
          <w:b w:val="false"/>
          <w:bCs w:val="false"/>
          <w:i w:val="false"/>
          <w:iCs w:val="false"/>
          <w:sz w:val="22"/>
          <w:szCs w:val="22"/>
        </w:rPr>
        <w:t xml:space="preserve">The scale of the problem has triggered a national legislative response. An April 2025 analysis by the National Caucus of Environmental Legislators identified </w:t>
      </w:r>
      <w:r>
        <w:rPr>
          <w:rFonts w:ascii="Arial" w:cs="Arial" w:eastAsia="Arial" w:hAnsi="Arial"/>
          <w:b/>
          <w:bCs/>
          <w:sz w:val="22"/>
          <w:szCs w:val="22"/>
        </w:rPr>
        <w:t xml:space="preserve">over 60 pieces of legislation related to data center development introduced across 22 states</w:t>
      </w:r>
      <w:r>
        <w:rPr>
          <w:rFonts w:ascii="Arial" w:cs="Arial" w:eastAsia="Arial" w:hAnsi="Arial"/>
          <w:b w:val="false"/>
          <w:bCs w:val="false"/>
          <w:i w:val="false"/>
          <w:iCs w:val="false"/>
          <w:sz w:val="22"/>
          <w:szCs w:val="22"/>
        </w:rPr>
        <w:t xml:space="preserve">—most focused on ratepayer protection. Notable actions include:</w:t>
      </w:r>
    </w:p>
    <w:p>
      <w:pPr>
        <w:spacing w:after="100" w:before="0" w:line="300"/>
        <w:ind w:left="360"/>
      </w:pPr>
      <w:r>
        <w:rPr>
          <w:rFonts w:ascii="Arial" w:cs="Arial" w:eastAsia="Arial" w:hAnsi="Arial"/>
          <w:b/>
          <w:bCs/>
          <w:sz w:val="22"/>
          <w:szCs w:val="22"/>
        </w:rPr>
        <w:t xml:space="preserve">Delaware: </w:t>
      </w:r>
      <w:r>
        <w:rPr>
          <w:rFonts w:ascii="Arial" w:cs="Arial" w:eastAsia="Arial" w:hAnsi="Arial"/>
          <w:b w:val="false"/>
          <w:bCs w:val="false"/>
          <w:i w:val="false"/>
          <w:iCs w:val="false"/>
          <w:sz w:val="22"/>
          <w:szCs w:val="22"/>
        </w:rPr>
        <w:t xml:space="preserve">Legislation to charge data centers higher utility rates advanced out of committee.</w:t>
      </w:r>
    </w:p>
    <w:p>
      <w:pPr>
        <w:spacing w:after="100" w:before="0" w:line="300"/>
        <w:ind w:left="360"/>
      </w:pPr>
      <w:r>
        <w:rPr>
          <w:rFonts w:ascii="Arial" w:cs="Arial" w:eastAsia="Arial" w:hAnsi="Arial"/>
          <w:b/>
          <w:bCs/>
          <w:sz w:val="22"/>
          <w:szCs w:val="22"/>
        </w:rPr>
        <w:t xml:space="preserve">Florida: </w:t>
      </w:r>
      <w:r>
        <w:rPr>
          <w:rFonts w:ascii="Arial" w:cs="Arial" w:eastAsia="Arial" w:hAnsi="Arial"/>
          <w:b w:val="false"/>
          <w:bCs w:val="false"/>
          <w:i w:val="false"/>
          <w:iCs w:val="false"/>
          <w:sz w:val="22"/>
          <w:szCs w:val="22"/>
        </w:rPr>
        <w:t xml:space="preserve">State Senate committee approved a bill creating new rate structures for data centers.</w:t>
      </w:r>
    </w:p>
    <w:p>
      <w:pPr>
        <w:spacing w:after="100" w:before="0" w:line="300"/>
        <w:ind w:left="360"/>
      </w:pPr>
      <w:r>
        <w:rPr>
          <w:rFonts w:ascii="Arial" w:cs="Arial" w:eastAsia="Arial" w:hAnsi="Arial"/>
          <w:b/>
          <w:bCs/>
          <w:sz w:val="22"/>
          <w:szCs w:val="22"/>
        </w:rPr>
        <w:t xml:space="preserve">Oklahoma: </w:t>
      </w:r>
      <w:r>
        <w:rPr>
          <w:rFonts w:ascii="Arial" w:cs="Arial" w:eastAsia="Arial" w:hAnsi="Arial"/>
          <w:b w:val="false"/>
          <w:bCs w:val="false"/>
          <w:i w:val="false"/>
          <w:iCs w:val="false"/>
          <w:sz w:val="22"/>
          <w:szCs w:val="22"/>
        </w:rPr>
        <w:t xml:space="preserve">A Republican state senator proposed a moratorium on new data centers until late 2029.</w:t>
      </w:r>
    </w:p>
    <w:p>
      <w:pPr>
        <w:spacing w:after="100" w:before="0" w:line="300"/>
        <w:ind w:left="360"/>
      </w:pPr>
      <w:r>
        <w:rPr>
          <w:rFonts w:ascii="Arial" w:cs="Arial" w:eastAsia="Arial" w:hAnsi="Arial"/>
          <w:b/>
          <w:bCs/>
          <w:sz w:val="22"/>
          <w:szCs w:val="22"/>
        </w:rPr>
        <w:t xml:space="preserve">Pennsylvania: </w:t>
      </w:r>
      <w:r>
        <w:rPr>
          <w:rFonts w:ascii="Arial" w:cs="Arial" w:eastAsia="Arial" w:hAnsi="Arial"/>
          <w:b w:val="false"/>
          <w:bCs w:val="false"/>
          <w:i w:val="false"/>
          <w:iCs w:val="false"/>
          <w:sz w:val="22"/>
          <w:szCs w:val="22"/>
        </w:rPr>
        <w:t xml:space="preserve">Electric utility agreed to data center ratepayer protections.</w:t>
      </w:r>
    </w:p>
    <w:p>
      <w:pPr>
        <w:spacing w:after="200" w:before="0" w:line="300"/>
        <w:ind w:left="360"/>
      </w:pPr>
      <w:r>
        <w:rPr>
          <w:rFonts w:ascii="Arial" w:cs="Arial" w:eastAsia="Arial" w:hAnsi="Arial"/>
          <w:b/>
          <w:bCs/>
          <w:sz w:val="22"/>
          <w:szCs w:val="22"/>
        </w:rPr>
        <w:t xml:space="preserve">Federal: </w:t>
      </w:r>
      <w:r>
        <w:rPr>
          <w:rFonts w:ascii="Arial" w:cs="Arial" w:eastAsia="Arial" w:hAnsi="Arial"/>
          <w:b w:val="false"/>
          <w:bCs w:val="false"/>
          <w:i w:val="false"/>
          <w:iCs w:val="false"/>
          <w:sz w:val="22"/>
          <w:szCs w:val="22"/>
        </w:rPr>
        <w:t xml:space="preserve">Senators Whitehouse and Fetterman introduced the Clean Cloud Act of 2025, amending the Clean Air Act to set emissions standards for data center equipment and require energy consumption data collection.</w:t>
      </w:r>
    </w:p>
    <w:p>
      <w:pPr>
        <w:spacing w:after="120" w:before="0" w:line="300"/>
        <w:ind w:left="720"/>
      </w:pPr>
      <w:r>
        <w:rPr>
          <w:rFonts w:ascii="Arial" w:cs="Arial" w:eastAsia="Arial" w:hAnsi="Arial"/>
          <w:b w:val="false"/>
          <w:bCs w:val="false"/>
          <w:i/>
          <w:iCs/>
          <w:sz w:val="20"/>
          <w:szCs w:val="20"/>
        </w:rPr>
        <w:t xml:space="preserve">Stateline, “With electricity bills rising, some states consider new data center laws” (February 2026); Latitude Media, “State lawmakers stand between ratepayers and data center costs” (2025); Georgetown Environmental Law Review, “Consumers End Up Paying” (2025).</w:t>
      </w:r>
    </w:p>
    <w:p>
      <w:pPr>
        <w:spacing w:after="120" w:before="200" w:line="300"/>
      </w:pPr>
      <w:r>
        <w:rPr>
          <w:rFonts w:ascii="Arial" w:cs="Arial" w:eastAsia="Arial" w:hAnsi="Arial"/>
          <w:b/>
          <w:bCs/>
          <w:i w:val="false"/>
          <w:iCs w:val="false"/>
          <w:color w:val="2E75B6"/>
          <w:sz w:val="24"/>
          <w:szCs w:val="24"/>
        </w:rPr>
        <w:t xml:space="preserve">D. Implications for Jerome County</w:t>
      </w:r>
    </w:p>
    <w:p>
      <w:pPr>
        <w:spacing w:after="160" w:before="0" w:line="300"/>
      </w:pPr>
      <w:r>
        <w:rPr>
          <w:rFonts w:ascii="Arial" w:cs="Arial" w:eastAsia="Arial" w:hAnsi="Arial"/>
          <w:b w:val="false"/>
          <w:bCs w:val="false"/>
          <w:i w:val="false"/>
          <w:iCs w:val="false"/>
          <w:sz w:val="22"/>
          <w:szCs w:val="22"/>
        </w:rPr>
        <w:t xml:space="preserve">Jerome County’s rural households spend proportionally more of their income on energy than urban households. Utility rate increases driven by data center demand or energy infrastructure buildout represent a regressive tax on the community that hosts the infrastructure—imposed without a vote, without compensation, and without the community’s informed consent. This is precisely why the ordinance package requires county-wide notification, full cost internalization by developers, and the General Welfare No-Balancing Rule for Tier 3 projects: the costs are systemic and county-wide, and the community must have the opportunity to evaluate them before they are imposed.</w:t>
      </w:r>
    </w:p>
    <w:p>
      <w:pPr>
        <w:spacing w:after="200" w:before="300" w:line="300"/>
      </w:pPr>
      <w:r>
        <w:rPr>
          <w:rFonts w:ascii="Arial" w:cs="Arial" w:eastAsia="Arial" w:hAnsi="Arial"/>
          <w:b/>
          <w:bCs/>
          <w:i w:val="false"/>
          <w:iCs w:val="false"/>
          <w:color w:val="1F3864"/>
          <w:sz w:val="28"/>
          <w:szCs w:val="28"/>
        </w:rPr>
        <w:t xml:space="preserve">IV. Why This Supplement Matters for the Board’s Decision</w:t>
      </w:r>
    </w:p>
    <w:p>
      <w:pPr>
        <w:spacing w:after="160" w:before="0" w:line="300"/>
      </w:pPr>
      <w:r>
        <w:rPr>
          <w:rFonts w:ascii="Arial" w:cs="Arial" w:eastAsia="Arial" w:hAnsi="Arial"/>
          <w:b w:val="false"/>
          <w:bCs w:val="false"/>
          <w:i w:val="false"/>
          <w:iCs w:val="false"/>
          <w:sz w:val="22"/>
          <w:szCs w:val="22"/>
        </w:rPr>
        <w:t xml:space="preserve">The water resource and utility rate evidence documented in this supplement strengthens the case for the regulatory framework proposed in the ordinance package in four specific ways:</w:t>
      </w:r>
    </w:p>
    <w:p>
      <w:pPr>
        <w:spacing w:after="160" w:before="0" w:line="300"/>
      </w:pPr>
      <w:r>
        <w:rPr>
          <w:rFonts w:ascii="Arial" w:cs="Arial" w:eastAsia="Arial" w:hAnsi="Arial"/>
          <w:b/>
          <w:bCs/>
          <w:sz w:val="22"/>
          <w:szCs w:val="22"/>
        </w:rPr>
        <w:t xml:space="preserve">First</w:t>
      </w:r>
      <w:r>
        <w:rPr>
          <w:rFonts w:ascii="Arial" w:cs="Arial" w:eastAsia="Arial" w:hAnsi="Arial"/>
          <w:b w:val="false"/>
          <w:bCs w:val="false"/>
          <w:i w:val="false"/>
          <w:iCs w:val="false"/>
          <w:sz w:val="22"/>
          <w:szCs w:val="22"/>
        </w:rPr>
        <w:t xml:space="preserve">, it demonstrates that the ESPA groundwater crisis is real, documented, and ongoing. Jerome County’s agricultural water users are already under curtailment pressure. Adding industrial-scale water demand from data centers is not a theoretical risk—it is a direct competition for a resource that is already in deficit.</w:t>
      </w:r>
    </w:p>
    <w:p>
      <w:pPr>
        <w:spacing w:after="160" w:before="0" w:line="300"/>
      </w:pPr>
      <w:r>
        <w:rPr>
          <w:rFonts w:ascii="Arial" w:cs="Arial" w:eastAsia="Arial" w:hAnsi="Arial"/>
          <w:b/>
          <w:bCs/>
          <w:sz w:val="22"/>
          <w:szCs w:val="22"/>
        </w:rPr>
        <w:t xml:space="preserve">Second</w:t>
      </w:r>
      <w:r>
        <w:rPr>
          <w:rFonts w:ascii="Arial" w:cs="Arial" w:eastAsia="Arial" w:hAnsi="Arial"/>
          <w:b w:val="false"/>
          <w:bCs w:val="false"/>
          <w:i w:val="false"/>
          <w:iCs w:val="false"/>
          <w:sz w:val="22"/>
          <w:szCs w:val="22"/>
        </w:rPr>
        <w:t xml:space="preserve">, it documents the national pattern of utility rate increases driven by data center development. Jerome County residents will bear these costs regardless of whether the development occurs in the county, but permitting data centers locally without impact mitigation will accelerate and concentrate the rate impact on county ratepayers.</w:t>
      </w:r>
    </w:p>
    <w:p>
      <w:pPr>
        <w:spacing w:after="160" w:before="0" w:line="300"/>
      </w:pPr>
      <w:r>
        <w:rPr>
          <w:rFonts w:ascii="Arial" w:cs="Arial" w:eastAsia="Arial" w:hAnsi="Arial"/>
          <w:b/>
          <w:bCs/>
          <w:sz w:val="22"/>
          <w:szCs w:val="22"/>
        </w:rPr>
        <w:t xml:space="preserve">Third</w:t>
      </w:r>
      <w:r>
        <w:rPr>
          <w:rFonts w:ascii="Arial" w:cs="Arial" w:eastAsia="Arial" w:hAnsi="Arial"/>
          <w:b w:val="false"/>
          <w:bCs w:val="false"/>
          <w:i w:val="false"/>
          <w:iCs w:val="false"/>
          <w:sz w:val="22"/>
          <w:szCs w:val="22"/>
        </w:rPr>
        <w:t xml:space="preserve">, it establishes that the national and state legislative trend is toward stronger regulation, not weaker. Twenty-two states have introduced data center regulation legislation. Idaho’s own legislative actions—SB 1133 (prohibiting solar/wind on APA lands), SB 1341 (tightening ESPA boundaries), and </w:t>
      </w:r>
      <w:r>
        <w:rPr>
          <w:rFonts w:ascii="Arial" w:cs="Arial" w:eastAsia="Arial" w:hAnsi="Arial"/>
          <w:b/>
          <w:bCs/>
          <w:sz w:val="22"/>
          <w:szCs w:val="22"/>
        </w:rPr>
        <w:t xml:space="preserve">HCR032 (2026)</w:t>
      </w:r>
      <w:r>
        <w:rPr>
          <w:rFonts w:ascii="Arial" w:cs="Arial" w:eastAsia="Arial" w:hAnsi="Arial"/>
          <w:b w:val="false"/>
          <w:bCs w:val="false"/>
          <w:i w:val="false"/>
          <w:iCs w:val="false"/>
          <w:sz w:val="22"/>
          <w:szCs w:val="22"/>
        </w:rPr>
        <w:t xml:space="preserve"> (declaring that energy infrastructure that harms agriculture, water resources, or rural communities is inconsistent with state policy and affirming that “private property rights, local land use authority, and the protection of agricultural and rural communities are paramount considerations”)—confirm this direction. Jerome County’s proposed ordinances are consistent with both the emerging national consensus and the Idaho Legislature’s own declared findings.</w:t>
      </w:r>
    </w:p>
    <w:p>
      <w:pPr>
        <w:spacing w:after="200" w:before="0" w:line="300"/>
      </w:pPr>
      <w:r>
        <w:rPr>
          <w:rFonts w:ascii="Arial" w:cs="Arial" w:eastAsia="Arial" w:hAnsi="Arial"/>
          <w:b/>
          <w:bCs/>
          <w:sz w:val="22"/>
          <w:szCs w:val="22"/>
        </w:rPr>
        <w:t xml:space="preserve">Fourth</w:t>
      </w:r>
      <w:r>
        <w:rPr>
          <w:rFonts w:ascii="Arial" w:cs="Arial" w:eastAsia="Arial" w:hAnsi="Arial"/>
          <w:b w:val="false"/>
          <w:bCs w:val="false"/>
          <w:i w:val="false"/>
          <w:iCs w:val="false"/>
          <w:sz w:val="22"/>
          <w:szCs w:val="22"/>
        </w:rPr>
        <w:t xml:space="preserve">, it validates the community notification standard. When 90.8% of survey respondents support county-wide notification, and the evidence shows that data center developers routinely use NDAs to prevent public disclosure of resource impacts, the case for maximum transparency is overwhelming.</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Supplement: Water Resources &amp; Utility Rate Impacts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v4</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ESPA crisis, data center water consumption, utility rate impacts, state/federal response</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revision tracking page; final consistency review</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b w:val="false"/>
        <w:bCs w:val="false"/>
        <w:i w:val="false"/>
        <w:iCs w:val="false"/>
        <w:color w:val="666666"/>
        <w:sz w:val="16"/>
        <w:szCs w:val="16"/>
      </w:rPr>
      <w:t xml:space="preserve">  Pierson — Water &amp; Utilities Supplement</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WATER &amp; UTILITIES SUPPLEMENT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2026-03-23T07:48:01.792Z</dcterms:created>
  <dcterms:modified xsi:type="dcterms:W3CDTF">2026-03-23T07:48:01.793Z</dcterms:modified>
</cp:coreProperties>
</file>

<file path=docProps/custom.xml><?xml version="1.0" encoding="utf-8"?>
<Properties xmlns="http://schemas.openxmlformats.org/officeDocument/2006/custom-properties" xmlns:vt="http://schemas.openxmlformats.org/officeDocument/2006/docPropsVTypes"/>
</file>