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ep0h13yz167s" w:id="0"/>
      <w:bookmarkEnd w:id="0"/>
      <w:r w:rsidDel="00000000" w:rsidR="00000000" w:rsidRPr="00000000">
        <w:rPr>
          <w:rtl w:val="0"/>
        </w:rPr>
        <w:t xml:space="preserve">The Small-Grid Paradox: Why "One Size Fits All" Energy Fails Small-Town America</w:t>
      </w:r>
    </w:p>
    <w:p w:rsidR="00000000" w:rsidDel="00000000" w:rsidP="00000000" w:rsidRDefault="00000000" w:rsidRPr="00000000" w14:paraId="00000002">
      <w:pPr>
        <w:rPr/>
      </w:pPr>
      <w:r w:rsidDel="00000000" w:rsidR="00000000" w:rsidRPr="00000000">
        <w:rPr>
          <w:rtl w:val="0"/>
        </w:rPr>
        <w:t xml:space="preserve">In the national dialogue surrounding the energy transition, there is a pervasive assumption that every community can—and should—adopt the same 100% renewable blueprint. We are often told that the strategies powering a sprawling coastal metropolis can be scaled down seamlessly for a quiet farming township in the Intermountain West. However, this "one size fits all" approach ignores the fundamental physics of power systems and the economic realities of the "Small-Grid Problem."While large, interconnected states like California can mask the variability of weather-dependent energy, small rural cooperatives and municipalities face a much steeper climb. The central tension lies in the difference between  </w:t>
      </w:r>
      <w:r w:rsidDel="00000000" w:rsidR="00000000" w:rsidRPr="00000000">
        <w:rPr>
          <w:b w:val="1"/>
          <w:bCs w:val="1"/>
          <w:rtl w:val="0"/>
        </w:rPr>
        <w:t xml:space="preserve">baseload energy</w:t>
      </w:r>
      <w:r w:rsidDel="00000000" w:rsidR="00000000" w:rsidRPr="00000000">
        <w:rPr>
          <w:rtl w:val="0"/>
        </w:rPr>
        <w:t xml:space="preserve"> —reliable, 24/7 power from sources like natural gas, geothermal, Small Modular Nuclear Reactors (SMRs), or hydroelectricity—and intermittent energy. For rural America, a low  </w:t>
      </w:r>
      <w:r w:rsidDel="00000000" w:rsidR="00000000" w:rsidRPr="00000000">
        <w:rPr>
          <w:b w:val="1"/>
          <w:bCs w:val="1"/>
          <w:rtl w:val="0"/>
        </w:rPr>
        <w:t xml:space="preserve">capacity factor</w:t>
      </w:r>
      <w:r w:rsidDel="00000000" w:rsidR="00000000" w:rsidRPr="00000000">
        <w:rPr>
          <w:rtl w:val="0"/>
        </w:rPr>
        <w:t xml:space="preserve">  (the actual energy output compared to its maximum potential) isn’t just a technical metric; it is a fundamental threat to local economic stability and land preservation.</w:t>
      </w:r>
    </w:p>
    <w:p w:rsidR="00000000" w:rsidDel="00000000" w:rsidP="00000000" w:rsidRDefault="00000000" w:rsidRPr="00000000" w14:paraId="00000003">
      <w:pPr>
        <w:pStyle w:val="Heading4"/>
        <w:rPr/>
      </w:pPr>
      <w:bookmarkStart w:colFirst="0" w:colLast="0" w:name="_c6qqazez18aw" w:id="1"/>
      <w:bookmarkEnd w:id="1"/>
      <w:r w:rsidDel="00000000" w:rsidR="00000000" w:rsidRPr="00000000">
        <w:rPr>
          <w:rtl w:val="0"/>
        </w:rPr>
        <w:t xml:space="preserve">Scale as a Double-Edged Sword: Why Small Grids Can’t "Hide" Intermittency</w:t>
      </w:r>
    </w:p>
    <w:p w:rsidR="00000000" w:rsidDel="00000000" w:rsidP="00000000" w:rsidRDefault="00000000" w:rsidRPr="00000000" w14:paraId="00000004">
      <w:pPr>
        <w:rPr/>
      </w:pPr>
      <w:r w:rsidDel="00000000" w:rsidR="00000000" w:rsidRPr="00000000">
        <w:rPr>
          <w:rtl w:val="0"/>
        </w:rPr>
        <w:t xml:space="preserve">The reliability of any power grid depends on redundancy and  </w:t>
      </w:r>
      <w:r w:rsidDel="00000000" w:rsidR="00000000" w:rsidRPr="00000000">
        <w:rPr>
          <w:b w:val="1"/>
          <w:bCs w:val="1"/>
          <w:rtl w:val="0"/>
        </w:rPr>
        <w:t xml:space="preserve">grid inertia</w:t>
      </w:r>
      <w:r w:rsidDel="00000000" w:rsidR="00000000" w:rsidRPr="00000000">
        <w:rPr>
          <w:rtl w:val="0"/>
        </w:rPr>
        <w:t xml:space="preserve"> —the physical properties of the system that allow it to resist sudden changes in frequency. Large-scale grids connect dozens of utilities across multiple states, creating a massive "shock absorber." If the wind stops blowing in one region, the system can instantly blend in power from a distant hydroelectric dam or a gas-fired plant.Small communities do not enjoy this luxury of scale. A rural county served by a single distribution cooperative lacks the interconnection density to mask production dips. In a large state, a cloud passing over a solar farm is a minor fluctuation. In a small municipality, that same cloud can cause a localized production drop that the limited infrastructure cannot easily replace. Without the inherent stability provided by massive rotating turbines in baseload plants, small-town utilities are left vulnerable to every shift in the weather.</w:t>
      </w:r>
      <w:r w:rsidDel="00000000" w:rsidR="00000000" w:rsidRPr="00000000">
        <w:rPr>
          <w:b w:val="1"/>
          <w:bCs w:val="1"/>
          <w:rtl w:val="0"/>
        </w:rPr>
        <w:t xml:space="preserve">Reflection:</w:t>
      </w:r>
      <w:r w:rsidDel="00000000" w:rsidR="00000000" w:rsidRPr="00000000">
        <w:rPr>
          <w:rtl w:val="0"/>
        </w:rPr>
        <w:t xml:space="preserve">  For a person living in a rural community, energy reliability is the difference between a functional irrigation system and a stalled harvest. Small grids lack the inherent "inertia" of larger systems, meaning local energy policy must prioritize dispatchable, reliable power to protect the local economy from the volatility of the weather.</w:t>
      </w:r>
    </w:p>
    <w:p w:rsidR="00000000" w:rsidDel="00000000" w:rsidP="00000000" w:rsidRDefault="00000000" w:rsidRPr="00000000" w14:paraId="00000005">
      <w:pPr>
        <w:pStyle w:val="Heading4"/>
        <w:rPr/>
      </w:pPr>
      <w:bookmarkStart w:colFirst="0" w:colLast="0" w:name="_ga55561b1tqd" w:id="2"/>
      <w:bookmarkEnd w:id="2"/>
      <w:r w:rsidDel="00000000" w:rsidR="00000000" w:rsidRPr="00000000">
        <w:rPr>
          <w:rtl w:val="0"/>
        </w:rPr>
        <w:t xml:space="preserve">The Storage Gap: Navigating the Financial Cliff of Battery Infrastructure</w:t>
      </w:r>
    </w:p>
    <w:p w:rsidR="00000000" w:rsidDel="00000000" w:rsidP="00000000" w:rsidRDefault="00000000" w:rsidRPr="00000000" w14:paraId="00000006">
      <w:pPr>
        <w:rPr/>
      </w:pPr>
      <w:r w:rsidDel="00000000" w:rsidR="00000000" w:rsidRPr="00000000">
        <w:rPr>
          <w:rtl w:val="0"/>
        </w:rPr>
        <w:t xml:space="preserve">To address the intermittency of solar and wind, many proponents suggest Battery Energy Storage Systems (BESS). The logic is simple: store excess power during the day to use at night. However, for a small cooperative, the "storage gap" is a financial chasm. For a utility-scale solar facility, the capacity factor is roughly 25%—meaning the system is idle or underperforming 75% of the time. Filling that 75% gap with batteries requires an investment that small communities simply cannot afford.The per-customer cost of building massive battery arrays is substantially higher for a small rural cooperative than for a metropolitan utility. While a city can spread the multi-million dollar cost across millions of residents, a small cooperative has no such economy of scale."For a small rural cooperative serving 15,000 customers, the same system could represent a generation-defining financial commitment."This financial burden makes baseload options—including natural gas, geothermal, or small hydroelectric facilities on irrigation canals—a more practical immediate choice for reliability.</w:t>
      </w:r>
      <w:r w:rsidDel="00000000" w:rsidR="00000000" w:rsidRPr="00000000">
        <w:rPr>
          <w:b w:val="1"/>
          <w:bCs w:val="1"/>
          <w:rtl w:val="0"/>
        </w:rPr>
        <w:t xml:space="preserve">Reflection:</w:t>
      </w:r>
      <w:r w:rsidDel="00000000" w:rsidR="00000000" w:rsidRPr="00000000">
        <w:rPr>
          <w:rtl w:val="0"/>
        </w:rPr>
        <w:t xml:space="preserve">  When a small community is forced to choose between a "generation-defining" debt for batteries or utilizing reliable, dispatchable power like SMRs or natural gas, the choice for local economic health becomes clear. We must avoid saddling the next generation with debt for infrastructure that larger cities can more easily absorb.</w:t>
      </w:r>
    </w:p>
    <w:p w:rsidR="00000000" w:rsidDel="00000000" w:rsidP="00000000" w:rsidRDefault="00000000" w:rsidRPr="00000000" w14:paraId="00000007">
      <w:pPr>
        <w:pStyle w:val="Heading4"/>
        <w:rPr/>
      </w:pPr>
      <w:bookmarkStart w:colFirst="0" w:colLast="0" w:name="_li1efd49v8oq" w:id="3"/>
      <w:bookmarkEnd w:id="3"/>
      <w:r w:rsidDel="00000000" w:rsidR="00000000" w:rsidRPr="00000000">
        <w:rPr>
          <w:rtl w:val="0"/>
        </w:rPr>
        <w:t xml:space="preserve">The Math of the Land: Protecting the Agricultural Foundation</w:t>
      </w:r>
    </w:p>
    <w:p w:rsidR="00000000" w:rsidDel="00000000" w:rsidP="00000000" w:rsidRDefault="00000000" w:rsidRPr="00000000" w14:paraId="00000008">
      <w:pPr>
        <w:rPr/>
      </w:pPr>
      <w:r w:rsidDel="00000000" w:rsidR="00000000" w:rsidRPr="00000000">
        <w:rPr>
          <w:rtl w:val="0"/>
        </w:rPr>
        <w:t xml:space="preserve">One of the most significant trade-offs in the energy debate is land-use intensity. There is a massive physical difference between how various energy types occupy the landscape to produce an equivalent amount of annual energy:</w:t>
      </w:r>
    </w:p>
    <w:p w:rsidR="00000000" w:rsidDel="00000000" w:rsidP="00000000" w:rsidRDefault="00000000" w:rsidRPr="00000000" w14:paraId="00000009">
      <w:pPr>
        <w:numPr>
          <w:ilvl w:val="0"/>
          <w:numId w:val="3"/>
        </w:numPr>
        <w:ind w:left="720" w:hanging="360"/>
        <w:rPr>
          <w:u w:val="none"/>
        </w:rPr>
      </w:pPr>
      <w:r w:rsidDel="00000000" w:rsidR="00000000" w:rsidRPr="00000000">
        <w:rPr>
          <w:b w:val="1"/>
          <w:bCs w:val="1"/>
          <w:rtl w:val="0"/>
        </w:rPr>
        <w:t xml:space="preserve">Baseload (Natural Gas, SMRs, Geothermal):</w:t>
      </w:r>
      <w:r w:rsidDel="00000000" w:rsidR="00000000" w:rsidRPr="00000000">
        <w:rPr>
          <w:rtl w:val="0"/>
        </w:rPr>
        <w:t xml:space="preserve">  Typically requires only 5 to 15 acres.</w:t>
      </w:r>
    </w:p>
    <w:p w:rsidR="00000000" w:rsidDel="00000000" w:rsidP="00000000" w:rsidRDefault="00000000" w:rsidRPr="00000000" w14:paraId="0000000A">
      <w:pPr>
        <w:numPr>
          <w:ilvl w:val="0"/>
          <w:numId w:val="3"/>
        </w:numPr>
        <w:ind w:left="720" w:hanging="360"/>
        <w:rPr>
          <w:u w:val="none"/>
        </w:rPr>
      </w:pPr>
      <w:r w:rsidDel="00000000" w:rsidR="00000000" w:rsidRPr="00000000">
        <w:rPr>
          <w:b w:val="1"/>
          <w:bCs w:val="1"/>
          <w:rtl w:val="0"/>
        </w:rPr>
        <w:t xml:space="preserve">Utility-Scale Solar:</w:t>
      </w:r>
      <w:r w:rsidDel="00000000" w:rsidR="00000000" w:rsidRPr="00000000">
        <w:rPr>
          <w:rtl w:val="0"/>
        </w:rPr>
        <w:t xml:space="preserve">  Requires 500+ acres of land.In regions like the Snake River Plain, the land is not just empty space; it consists of Class I and Class II agricultural soils. These are the primary economic and natural heritage assets of the community. Converting hundreds of acres of prime farmland into industrial solar arrays represents an irreversible change.</w:t>
      </w:r>
      <w:r w:rsidDel="00000000" w:rsidR="00000000" w:rsidRPr="00000000">
        <w:rPr>
          <w:b w:val="1"/>
          <w:bCs w:val="1"/>
          <w:rtl w:val="0"/>
        </w:rPr>
        <w:t xml:space="preserve">Reflection:</w:t>
      </w:r>
      <w:r w:rsidDel="00000000" w:rsidR="00000000" w:rsidRPr="00000000">
        <w:rPr>
          <w:rtl w:val="0"/>
        </w:rPr>
        <w:t xml:space="preserve">  For an agricultural community like Jerome County, land is the economy. Choosing a low-footprint baseload plant that occupies 10 acres allows the surrounding 490 acres to remain in production for family farms. We must protect the legacy of our soil from large-scale industrial conversion that threatens the very foundation of our rural identity.</w:t>
      </w:r>
    </w:p>
    <w:p w:rsidR="00000000" w:rsidDel="00000000" w:rsidP="00000000" w:rsidRDefault="00000000" w:rsidRPr="00000000" w14:paraId="0000000B">
      <w:pPr>
        <w:pStyle w:val="Heading4"/>
        <w:rPr/>
      </w:pPr>
      <w:bookmarkStart w:colFirst="0" w:colLast="0" w:name="_ldv9yu6eyfzo" w:id="4"/>
      <w:bookmarkEnd w:id="4"/>
      <w:r w:rsidDel="00000000" w:rsidR="00000000" w:rsidRPr="00000000">
        <w:rPr>
          <w:rtl w:val="0"/>
        </w:rPr>
        <w:t xml:space="preserve">Durable Relationships vs. Temporary Booms: The Economic Reality of Energy Jobs</w:t>
      </w:r>
    </w:p>
    <w:p w:rsidR="00000000" w:rsidDel="00000000" w:rsidP="00000000" w:rsidRDefault="00000000" w:rsidRPr="00000000" w14:paraId="0000000C">
      <w:pPr>
        <w:rPr/>
      </w:pPr>
      <w:r w:rsidDel="00000000" w:rsidR="00000000" w:rsidRPr="00000000">
        <w:rPr>
          <w:rtl w:val="0"/>
        </w:rPr>
        <w:t xml:space="preserve">The economic impact of a power plant is often measured by the jobs it creates, but the quality and duration of those jobs matter most. There is a stark discrepancy between the workforce profiles of baseload facilities and utility-scale renewable projects:</w:t>
      </w:r>
    </w:p>
    <w:p w:rsidR="00000000" w:rsidDel="00000000" w:rsidP="00000000" w:rsidRDefault="00000000" w:rsidRPr="00000000" w14:paraId="0000000D">
      <w:pPr>
        <w:numPr>
          <w:ilvl w:val="0"/>
          <w:numId w:val="1"/>
        </w:numPr>
        <w:ind w:left="720" w:hanging="360"/>
        <w:rPr>
          <w:u w:val="none"/>
        </w:rPr>
      </w:pPr>
      <w:r w:rsidDel="00000000" w:rsidR="00000000" w:rsidRPr="00000000">
        <w:rPr>
          <w:b w:val="1"/>
          <w:bCs w:val="1"/>
          <w:rtl w:val="0"/>
        </w:rPr>
        <w:t xml:space="preserve">Renewable Projects:</w:t>
      </w:r>
      <w:r w:rsidDel="00000000" w:rsidR="00000000" w:rsidRPr="00000000">
        <w:rPr>
          <w:rtl w:val="0"/>
        </w:rPr>
        <w:t xml:space="preserve">  Create a brief surge of temporary construction jobs, but the "operational phase" is very thin. Once built, a 500-acre solar farm may only require a handful of maintenance workers.</w:t>
      </w:r>
    </w:p>
    <w:p w:rsidR="00000000" w:rsidDel="00000000" w:rsidP="00000000" w:rsidRDefault="00000000" w:rsidRPr="00000000" w14:paraId="0000000E">
      <w:pPr>
        <w:numPr>
          <w:ilvl w:val="0"/>
          <w:numId w:val="1"/>
        </w:numPr>
        <w:ind w:left="720" w:hanging="360"/>
        <w:rPr>
          <w:u w:val="none"/>
        </w:rPr>
      </w:pPr>
      <w:r w:rsidDel="00000000" w:rsidR="00000000" w:rsidRPr="00000000">
        <w:rPr>
          <w:b w:val="1"/>
          <w:bCs w:val="1"/>
          <w:rtl w:val="0"/>
        </w:rPr>
        <w:t xml:space="preserve">Baseload Facilities:</w:t>
      </w:r>
      <w:r w:rsidDel="00000000" w:rsidR="00000000" w:rsidRPr="00000000">
        <w:rPr>
          <w:rtl w:val="0"/>
        </w:rPr>
        <w:t xml:space="preserve">  Plants fueled by natural gas, nuclear, or hydro require larger, permanent workforces. These positions offer higher wages and create "more durable local economic relationships."</w:t>
      </w:r>
      <w:r w:rsidDel="00000000" w:rsidR="00000000" w:rsidRPr="00000000">
        <w:rPr>
          <w:b w:val="1"/>
          <w:bCs w:val="1"/>
          <w:rtl w:val="0"/>
        </w:rPr>
        <w:t xml:space="preserve">Reflection:</w:t>
      </w:r>
      <w:r w:rsidDel="00000000" w:rsidR="00000000" w:rsidRPr="00000000">
        <w:rPr>
          <w:rtl w:val="0"/>
        </w:rPr>
        <w:t xml:space="preserve">  Permanent employees at baseload plants buy homes, pay local property taxes, and send their children to local schools. While a solar project brings a brief construction boom, it rarely provides the long-term, high-wage stability that allows families to stay and invest in a small town for decades.</w:t>
      </w:r>
    </w:p>
    <w:p w:rsidR="00000000" w:rsidDel="00000000" w:rsidP="00000000" w:rsidRDefault="00000000" w:rsidRPr="00000000" w14:paraId="0000000F">
      <w:pPr>
        <w:pStyle w:val="Heading4"/>
        <w:rPr/>
      </w:pPr>
      <w:bookmarkStart w:colFirst="0" w:colLast="0" w:name="_3xgphy2tha34" w:id="5"/>
      <w:bookmarkEnd w:id="5"/>
      <w:r w:rsidDel="00000000" w:rsidR="00000000" w:rsidRPr="00000000">
        <w:rPr>
          <w:rtl w:val="0"/>
        </w:rPr>
        <w:t xml:space="preserve">Intent Matters: Distinguishing Local Power from Commercial Export</w:t>
      </w:r>
    </w:p>
    <w:p w:rsidR="00000000" w:rsidDel="00000000" w:rsidP="00000000" w:rsidRDefault="00000000" w:rsidRPr="00000000" w14:paraId="00000010">
      <w:pPr>
        <w:rPr/>
      </w:pPr>
      <w:r w:rsidDel="00000000" w:rsidR="00000000" w:rsidRPr="00000000">
        <w:rPr>
          <w:rtl w:val="0"/>
        </w:rPr>
        <w:t xml:space="preserve">A balanced energy policy recognizes that renewable technology itself isn't the problem—it is the scale and the intent of the project. We must distinguish between two very different models of development:</w:t>
      </w:r>
    </w:p>
    <w:p w:rsidR="00000000" w:rsidDel="00000000" w:rsidP="00000000" w:rsidRDefault="00000000" w:rsidRPr="00000000" w14:paraId="00000011">
      <w:pPr>
        <w:numPr>
          <w:ilvl w:val="0"/>
          <w:numId w:val="2"/>
        </w:numPr>
        <w:ind w:left="720" w:hanging="360"/>
        <w:rPr>
          <w:u w:val="none"/>
        </w:rPr>
      </w:pPr>
      <w:r w:rsidDel="00000000" w:rsidR="00000000" w:rsidRPr="00000000">
        <w:rPr>
          <w:b w:val="1"/>
          <w:bCs w:val="1"/>
          <w:rtl w:val="0"/>
        </w:rPr>
        <w:t xml:space="preserve">Distributed / Local Scale:</w:t>
      </w:r>
      <w:r w:rsidDel="00000000" w:rsidR="00000000" w:rsidRPr="00000000">
        <w:rPr>
          <w:rtl w:val="0"/>
        </w:rPr>
        <w:t xml:space="preserve">  This includes rooftop solar on homes or farm-scale arrays that serve local needs. These are a "strong local fit" because they reduce costs for residents without stressing the grid or consuming prime soil.</w:t>
      </w:r>
    </w:p>
    <w:p w:rsidR="00000000" w:rsidDel="00000000" w:rsidP="00000000" w:rsidRDefault="00000000" w:rsidRPr="00000000" w14:paraId="00000012">
      <w:pPr>
        <w:numPr>
          <w:ilvl w:val="0"/>
          <w:numId w:val="2"/>
        </w:numPr>
        <w:ind w:left="720" w:hanging="360"/>
        <w:rPr>
          <w:u w:val="none"/>
        </w:rPr>
      </w:pPr>
      <w:r w:rsidDel="00000000" w:rsidR="00000000" w:rsidRPr="00000000">
        <w:rPr>
          <w:b w:val="1"/>
          <w:bCs w:val="1"/>
          <w:rtl w:val="0"/>
        </w:rPr>
        <w:t xml:space="preserve">Commercial Export Scale:</w:t>
      </w:r>
      <w:r w:rsidDel="00000000" w:rsidR="00000000" w:rsidRPr="00000000">
        <w:rPr>
          <w:rtl w:val="0"/>
        </w:rPr>
        <w:t xml:space="preserve">  These are massive projects designed to sell electricity to distant buyers in other regions.The character of a project determines its value to the community. When energy is produced locally to serve local people, it is an asset. When thousands of acres are converted to serve distant urban markets, the rural community bears the land-use costs while the profits and power flow elsewhere.</w:t>
      </w:r>
    </w:p>
    <w:p w:rsidR="00000000" w:rsidDel="00000000" w:rsidP="00000000" w:rsidRDefault="00000000" w:rsidRPr="00000000" w14:paraId="00000013">
      <w:pPr>
        <w:pStyle w:val="Heading4"/>
        <w:rPr/>
      </w:pPr>
      <w:bookmarkStart w:colFirst="0" w:colLast="0" w:name="_ea3vtepiceja" w:id="6"/>
      <w:bookmarkEnd w:id="6"/>
      <w:r w:rsidDel="00000000" w:rsidR="00000000" w:rsidRPr="00000000">
        <w:rPr>
          <w:rtl w:val="0"/>
        </w:rPr>
        <w:t xml:space="preserve">Conclusion: Aligning Energy with Community Values</w:t>
      </w:r>
    </w:p>
    <w:p w:rsidR="00000000" w:rsidDel="00000000" w:rsidP="00000000" w:rsidRDefault="00000000" w:rsidRPr="00000000" w14:paraId="00000014">
      <w:pPr>
        <w:rPr/>
      </w:pPr>
      <w:r w:rsidDel="00000000" w:rsidR="00000000" w:rsidRPr="00000000">
        <w:rPr>
          <w:rtl w:val="0"/>
        </w:rPr>
        <w:t xml:space="preserve">Energy policy must be tailored to local infrastructure and land-use priorities, rather than being dictated by urban models. For communities in the Snake River Plain, the most protective path is one that utilizes existing assets—like natural gas networks and irrigation-canal hydro—while welcoming small-scale, on-site energy.Protecting our assets requires moving past the "one size fits all" narrative and implementing rigorous, objective standards for commercial projects. This is the logic behind the proposed Chapter 11 ordinance amendments: ensuring that energy development serves the community rather than exploiting its resources.As we look toward the future, we must ask: How does our community balance the need for modern energy with the preservation of the resources and economic stability that make this place home?</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