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bdiagtjvdhu" w:id="0"/>
      <w:bookmarkEnd w:id="0"/>
      <w:r w:rsidDel="00000000" w:rsidR="00000000" w:rsidRPr="00000000">
        <w:rPr>
          <w:rtl w:val="0"/>
        </w:rPr>
        <w:t xml:space="preserve">Comparative Economic Impact Analysis: Baseload vs. Utility-Scale Renewable Energy in Small-Grid Agricultural Contexts</w:t>
      </w:r>
    </w:p>
    <w:p w:rsidR="00000000" w:rsidDel="00000000" w:rsidP="00000000" w:rsidRDefault="00000000" w:rsidRPr="00000000" w14:paraId="00000002">
      <w:pPr>
        <w:pStyle w:val="Heading5"/>
        <w:rPr/>
      </w:pPr>
      <w:bookmarkStart w:colFirst="0" w:colLast="0" w:name="_mki15ggmxmsc" w:id="1"/>
      <w:bookmarkEnd w:id="1"/>
      <w:r w:rsidDel="00000000" w:rsidR="00000000" w:rsidRPr="00000000">
        <w:rPr>
          <w:rtl w:val="0"/>
        </w:rPr>
        <w:t xml:space="preserve">1. Introduction: The Strategic Energy Landscape for Small Communities</w:t>
      </w:r>
    </w:p>
    <w:p w:rsidR="00000000" w:rsidDel="00000000" w:rsidP="00000000" w:rsidRDefault="00000000" w:rsidRPr="00000000" w14:paraId="00000003">
      <w:pPr>
        <w:rPr/>
      </w:pPr>
      <w:r w:rsidDel="00000000" w:rsidR="00000000" w:rsidRPr="00000000">
        <w:rPr>
          <w:rtl w:val="0"/>
        </w:rPr>
        <w:t xml:space="preserve">The transition of the national energy landscape imposes a strategic misalignment between broad federal policy objectives and the localized economic realities of small-grid, agricultural communities. While metropolitan regions possess the scale to absorb diverse energy variables, rural jurisdictions must prioritize a localized energy policy as a prerequisite for long-term fiscal health and municipal solvency. For these communities, energy is not a mere commodity; it is a strategic variable that dictates the stability of the tax base and the viability of local infrastructure.A foundational distinction in this analysis is the difference between "baseload" and "intermittent" energy sources. Baseload energy—historically derived from natural gas combined-cycle plants, hydroelectric facilities, and geothermal plants, and now evolving to include Small Modular Nuclear Reactors (SMNRs)—provides a steady, predictable minimum level of electricity. These sources are defined by their capacity to dispatch power on demand. Conversely, intermittent sources, such as utility-scale solar and wind, generate electricity only when environmental conditions permit, lacking the inherent reliability required for standalone grid stability.This distinction is amplified by the "small-grid problem." Unlike massive metropolitan grids, such as those in California that utilize 30,000 megawatts of solar balanced by vast transmission redundancies and diverse demand peaks, rural cooperatives and small municipalities operate with limited flexibility. Small grids lack the interconnection density to mask variability; when an intermittent source drops output, the absence of diverse substitution options creates a technical and financial volatility that scales poorly for smaller populations. Establishing a reliable grid is the fundamental requirement for local economic stability, serving as the bedrock for all subsequent industrial and agricultural growth.</w:t>
      </w:r>
    </w:p>
    <w:p w:rsidR="00000000" w:rsidDel="00000000" w:rsidP="00000000" w:rsidRDefault="00000000" w:rsidRPr="00000000" w14:paraId="00000004">
      <w:pPr>
        <w:pStyle w:val="Heading5"/>
        <w:rPr/>
      </w:pPr>
      <w:bookmarkStart w:colFirst="0" w:colLast="0" w:name="_gyw6bxrqwew0" w:id="2"/>
      <w:bookmarkEnd w:id="2"/>
      <w:r w:rsidDel="00000000" w:rsidR="00000000" w:rsidRPr="00000000">
        <w:rPr>
          <w:rtl w:val="0"/>
        </w:rPr>
        <w:t xml:space="preserve">2. Technical Reliability and the Economic Cost of Intermittency</w:t>
      </w:r>
    </w:p>
    <w:p w:rsidR="00000000" w:rsidDel="00000000" w:rsidP="00000000" w:rsidRDefault="00000000" w:rsidRPr="00000000" w14:paraId="00000005">
      <w:pPr>
        <w:rPr/>
      </w:pPr>
      <w:r w:rsidDel="00000000" w:rsidR="00000000" w:rsidRPr="00000000">
        <w:rPr>
          <w:rtl w:val="0"/>
        </w:rPr>
        <w:t xml:space="preserve">Grid reliability is the invisible infrastructure supporting a community’s economic resilience. In this context, intermittency must be viewed as an economic variable that introduces significant hidden costs into local financial planning. When a power source cannot be guaranteed, the community is forced to subsidize the production gap through expensive market purchases or redundant infrastructure, creating an avoidable drag on the local economy.The disparity in performance is revealed through capacity factors. Baseload generation provides dispatchable power 24/7, whereas utility-scale solar typically yields only one-quarter of its rated capacity over a year due to nighttime and cloud cover. Similarly, wind capacity factors are entirely contingent upon local wind regimes, making them geographically volatile. This necessitates overbuilding capacity to achieve the same "firm" output as a modest baseload facility, a strategy that is both land-intensive and capital-inefficient.To mitigate this gap, proponents often suggest Battery Energy Storage Systems (BESS). However, for a small rural cooperative serving 15,000 customers, a 200-megawatt BESS facility is not merely a capital project; it is a generation-defining financial commitment. The per-customer cost of storage in small-grid contexts is substantially higher than in metropolitan areas, placing a disproportionate burden on local ratepayers. Furthermore, the localized safety and environmental risks—including fire hazards, chemical contamination, and the massive liabilities of decommissioning—represent specific threats to the land and water resources that sustain agricultural economies. These technical risks translate directly into long-term economic liabilities for the county.Reliability and risk management are inextricably linked to how a community manages its most precious and finite resource: its land.</w:t>
      </w:r>
    </w:p>
    <w:p w:rsidR="00000000" w:rsidDel="00000000" w:rsidP="00000000" w:rsidRDefault="00000000" w:rsidRPr="00000000" w14:paraId="00000006">
      <w:pPr>
        <w:pStyle w:val="Heading5"/>
        <w:rPr/>
      </w:pPr>
      <w:bookmarkStart w:colFirst="0" w:colLast="0" w:name="_t2vc8puqswfk" w:id="3"/>
      <w:bookmarkEnd w:id="3"/>
      <w:r w:rsidDel="00000000" w:rsidR="00000000" w:rsidRPr="00000000">
        <w:rPr>
          <w:rtl w:val="0"/>
        </w:rPr>
        <w:t xml:space="preserve">3. Land Use Economics: Protecting the Agricultural Asset Base</w:t>
      </w:r>
    </w:p>
    <w:p w:rsidR="00000000" w:rsidDel="00000000" w:rsidP="00000000" w:rsidRDefault="00000000" w:rsidRPr="00000000" w14:paraId="00000007">
      <w:pPr>
        <w:rPr/>
      </w:pPr>
      <w:r w:rsidDel="00000000" w:rsidR="00000000" w:rsidRPr="00000000">
        <w:rPr>
          <w:rtl w:val="0"/>
        </w:rPr>
        <w:t xml:space="preserve">In regions like Jerome County, land is the primary economic asset and a non-renewable natural heritage. The presence of Class I and II agricultural soils serves as the engine of the local economy and the foundation of the property tax base. The economic impact of energy development must therefore be measured by the degree to which it compromises or preserves this asset base.The following table contrasts the land-use intensity and reliability profiles of these energy types:| </w:t>
      </w:r>
      <w:r w:rsidDel="00000000" w:rsidR="00000000" w:rsidRPr="00000000">
        <w:rPr>
          <w:b w:val="1"/>
          <w:bCs w:val="1"/>
          <w:rtl w:val="0"/>
        </w:rPr>
        <w:t xml:space="preserve">Factor</w:t>
      </w:r>
      <w:r w:rsidDel="00000000" w:rsidR="00000000" w:rsidRPr="00000000">
        <w:rPr>
          <w:rtl w:val="0"/>
        </w:rPr>
        <w:t xml:space="preserve"> | </w:t>
      </w:r>
      <w:r w:rsidDel="00000000" w:rsidR="00000000" w:rsidRPr="00000000">
        <w:rPr>
          <w:b w:val="1"/>
          <w:bCs w:val="1"/>
          <w:rtl w:val="0"/>
        </w:rPr>
        <w:t xml:space="preserve">Baseload Generation</w:t>
      </w:r>
      <w:r w:rsidDel="00000000" w:rsidR="00000000" w:rsidRPr="00000000">
        <w:rPr>
          <w:rtl w:val="0"/>
        </w:rPr>
        <w:t xml:space="preserve"> | </w:t>
      </w:r>
      <w:r w:rsidDel="00000000" w:rsidR="00000000" w:rsidRPr="00000000">
        <w:rPr>
          <w:b w:val="1"/>
          <w:bCs w:val="1"/>
          <w:rtl w:val="0"/>
        </w:rPr>
        <w:t xml:space="preserve">Utility-Scale Renewables</w:t>
      </w:r>
      <w:r w:rsidDel="00000000" w:rsidR="00000000" w:rsidRPr="00000000">
        <w:rPr>
          <w:rtl w:val="0"/>
        </w:rPr>
        <w:t xml:space="preserve"> || ------ | ------ | ------ || </w:t>
      </w:r>
      <w:r w:rsidDel="00000000" w:rsidR="00000000" w:rsidRPr="00000000">
        <w:rPr>
          <w:b w:val="1"/>
          <w:bCs w:val="1"/>
          <w:rtl w:val="0"/>
        </w:rPr>
        <w:t xml:space="preserve">Grid Reliability</w:t>
      </w:r>
      <w:r w:rsidDel="00000000" w:rsidR="00000000" w:rsidRPr="00000000">
        <w:rPr>
          <w:rtl w:val="0"/>
        </w:rPr>
        <w:t xml:space="preserve"> | Dispatchable on demand 24/7 | Intermittent; dependent on sun/wind || </w:t>
      </w:r>
      <w:r w:rsidDel="00000000" w:rsidR="00000000" w:rsidRPr="00000000">
        <w:rPr>
          <w:b w:val="1"/>
          <w:bCs w:val="1"/>
          <w:rtl w:val="0"/>
        </w:rPr>
        <w:t xml:space="preserve">Acreage per Megawatt</w:t>
      </w:r>
      <w:r w:rsidDel="00000000" w:rsidR="00000000" w:rsidRPr="00000000">
        <w:rPr>
          <w:rtl w:val="0"/>
        </w:rPr>
        <w:t xml:space="preserve"> | Low (5–15 acres per MW) | High (100s of acres per MW) || </w:t>
      </w:r>
      <w:r w:rsidDel="00000000" w:rsidR="00000000" w:rsidRPr="00000000">
        <w:rPr>
          <w:b w:val="1"/>
          <w:bCs w:val="1"/>
          <w:rtl w:val="0"/>
        </w:rPr>
        <w:t xml:space="preserve">Storage Requirement</w:t>
      </w:r>
      <w:r w:rsidDel="00000000" w:rsidR="00000000" w:rsidRPr="00000000">
        <w:rPr>
          <w:rtl w:val="0"/>
        </w:rPr>
        <w:t xml:space="preserve"> | None; inherently dispatchable | Large, expensive BESS investment || </w:t>
      </w:r>
      <w:r w:rsidDel="00000000" w:rsidR="00000000" w:rsidRPr="00000000">
        <w:rPr>
          <w:b w:val="1"/>
          <w:bCs w:val="1"/>
          <w:rtl w:val="0"/>
        </w:rPr>
        <w:t xml:space="preserve">Small-Grid Suitability</w:t>
      </w:r>
      <w:r w:rsidDel="00000000" w:rsidR="00000000" w:rsidRPr="00000000">
        <w:rPr>
          <w:rtl w:val="0"/>
        </w:rPr>
        <w:t xml:space="preserve"> | High; no variability management | Low; small grids absorb variability poorly || </w:t>
      </w:r>
      <w:r w:rsidDel="00000000" w:rsidR="00000000" w:rsidRPr="00000000">
        <w:rPr>
          <w:b w:val="1"/>
          <w:bCs w:val="1"/>
          <w:rtl w:val="0"/>
        </w:rPr>
        <w:t xml:space="preserve">Agricultural Compatibility</w:t>
      </w:r>
      <w:r w:rsidDel="00000000" w:rsidR="00000000" w:rsidRPr="00000000">
        <w:rPr>
          <w:rtl w:val="0"/>
        </w:rPr>
        <w:t xml:space="preserve"> | High; minimal footprint | Large irreversible conversion risk |</w:t>
      </w:r>
    </w:p>
    <w:p w:rsidR="00000000" w:rsidDel="00000000" w:rsidP="00000000" w:rsidRDefault="00000000" w:rsidRPr="00000000" w14:paraId="00000008">
      <w:pPr>
        <w:rPr/>
      </w:pPr>
      <w:r w:rsidDel="00000000" w:rsidR="00000000" w:rsidRPr="00000000">
        <w:rPr>
          <w:rtl w:val="0"/>
        </w:rPr>
        <w:t xml:space="preserve">The "So What?" of land conversion is a matter of long-term fiscal survival. High-intensity land use for utility-scale renewables represents a large irreversible conversion risk for prime farmland. Once hundreds of acres of top-tier soil are covered by solar arrays or wind infrastructure, that land is effectively excised from the agricultural economy for decades, eroding the very tax base the community relies upon. In contrast, baseload technologies facilitate a concentrated energy footprint, allowing power production to coexist with—rather than displace—agricultural operations.By minimizing land disruption, communities can preserve their core economic drivers while meeting energy needs, a balance that is frequently ignored by large-scale commercial export projects.</w:t>
      </w:r>
    </w:p>
    <w:p w:rsidR="00000000" w:rsidDel="00000000" w:rsidP="00000000" w:rsidRDefault="00000000" w:rsidRPr="00000000" w14:paraId="00000009">
      <w:pPr>
        <w:pStyle w:val="Heading5"/>
        <w:rPr/>
      </w:pPr>
      <w:bookmarkStart w:colFirst="0" w:colLast="0" w:name="_7f8av0b8ne5p" w:id="4"/>
      <w:bookmarkEnd w:id="4"/>
      <w:r w:rsidDel="00000000" w:rsidR="00000000" w:rsidRPr="00000000">
        <w:rPr>
          <w:rtl w:val="0"/>
        </w:rPr>
        <w:t xml:space="preserve">4. Strategic Utilization of Existing Local Infrastructure</w:t>
      </w:r>
    </w:p>
    <w:p w:rsidR="00000000" w:rsidDel="00000000" w:rsidP="00000000" w:rsidRDefault="00000000" w:rsidRPr="00000000" w14:paraId="0000000A">
      <w:pPr>
        <w:rPr/>
      </w:pPr>
      <w:r w:rsidDel="00000000" w:rsidR="00000000" w:rsidRPr="00000000">
        <w:rPr>
          <w:rtl w:val="0"/>
        </w:rPr>
        <w:t xml:space="preserve">Economic efficiency is maximized when a community leverages the "sunk costs" of its existing infrastructure to minimize disruption and capital requirements. Utilizing existing assets is a fiscally responsible alternative to the massive capital outlays required for new, remote energy developments.In the Snake River Plain, several existing assets are highly compatible with baseload generation:</w:t>
      </w:r>
    </w:p>
    <w:p w:rsidR="00000000" w:rsidDel="00000000" w:rsidP="00000000" w:rsidRDefault="00000000" w:rsidRPr="00000000" w14:paraId="0000000B">
      <w:pPr>
        <w:numPr>
          <w:ilvl w:val="0"/>
          <w:numId w:val="2"/>
        </w:numPr>
        <w:ind w:left="720" w:hanging="360"/>
        <w:rPr>
          <w:u w:val="none"/>
        </w:rPr>
      </w:pPr>
      <w:r w:rsidDel="00000000" w:rsidR="00000000" w:rsidRPr="00000000">
        <w:rPr>
          <w:b w:val="1"/>
          <w:bCs w:val="1"/>
          <w:rtl w:val="0"/>
        </w:rPr>
        <w:t xml:space="preserve">Natural Gas Distribution Networks:</w:t>
      </w:r>
      <w:r w:rsidDel="00000000" w:rsidR="00000000" w:rsidRPr="00000000">
        <w:rPr>
          <w:rtl w:val="0"/>
        </w:rPr>
        <w:t xml:space="preserve">  These provide fuel for dispatchable plants without the need for invasive new pipelines.</w:t>
      </w:r>
    </w:p>
    <w:p w:rsidR="00000000" w:rsidDel="00000000" w:rsidP="00000000" w:rsidRDefault="00000000" w:rsidRPr="00000000" w14:paraId="0000000C">
      <w:pPr>
        <w:numPr>
          <w:ilvl w:val="0"/>
          <w:numId w:val="2"/>
        </w:numPr>
        <w:ind w:left="720" w:hanging="360"/>
        <w:rPr>
          <w:u w:val="none"/>
        </w:rPr>
      </w:pPr>
      <w:r w:rsidDel="00000000" w:rsidR="00000000" w:rsidRPr="00000000">
        <w:rPr>
          <w:b w:val="1"/>
          <w:bCs w:val="1"/>
          <w:rtl w:val="0"/>
        </w:rPr>
        <w:t xml:space="preserve">Irrigation Canals:</w:t>
      </w:r>
      <w:r w:rsidDel="00000000" w:rsidR="00000000" w:rsidRPr="00000000">
        <w:rPr>
          <w:rtl w:val="0"/>
        </w:rPr>
        <w:t xml:space="preserve">  These waterways can host small hydroelectric facilities, offering steady power with zero additional land conversion.</w:t>
      </w:r>
    </w:p>
    <w:p w:rsidR="00000000" w:rsidDel="00000000" w:rsidP="00000000" w:rsidRDefault="00000000" w:rsidRPr="00000000" w14:paraId="0000000D">
      <w:pPr>
        <w:numPr>
          <w:ilvl w:val="0"/>
          <w:numId w:val="2"/>
        </w:numPr>
        <w:ind w:left="720" w:hanging="360"/>
        <w:rPr>
          <w:u w:val="none"/>
        </w:rPr>
      </w:pPr>
      <w:r w:rsidDel="00000000" w:rsidR="00000000" w:rsidRPr="00000000">
        <w:rPr>
          <w:b w:val="1"/>
          <w:bCs w:val="1"/>
          <w:rtl w:val="0"/>
        </w:rPr>
        <w:t xml:space="preserve">Cooperative Transmission Systems:</w:t>
      </w:r>
      <w:r w:rsidDel="00000000" w:rsidR="00000000" w:rsidRPr="00000000">
        <w:rPr>
          <w:rtl w:val="0"/>
        </w:rPr>
        <w:t xml:space="preserve">  Existing lines are engineered for centralized, steady loads, reducing the need for expensive system overhauls.Leveraging these assets is significantly more cost-effective than the disruption of energy development required for remote renewables. Utility-scale projects frequently necessitate the construction of entirely new transmission corridors to connect remote generation to distant population centers. For a small community, the cost and physical intrusion of these corridors—often built solely to serve distant buyers—outweigh the local benefits. Using existing infrastructure allows for a surgical, fiscally disciplined expansion of energy capacity.This efficiency in infrastructure also translates into superior outcomes for the local workforce.</w:t>
      </w:r>
    </w:p>
    <w:p w:rsidR="00000000" w:rsidDel="00000000" w:rsidP="00000000" w:rsidRDefault="00000000" w:rsidRPr="00000000" w14:paraId="0000000E">
      <w:pPr>
        <w:pStyle w:val="Heading5"/>
        <w:rPr/>
      </w:pPr>
      <w:bookmarkStart w:colFirst="0" w:colLast="0" w:name="_n7trhj2n48is" w:id="5"/>
      <w:bookmarkEnd w:id="5"/>
      <w:r w:rsidDel="00000000" w:rsidR="00000000" w:rsidRPr="00000000">
        <w:rPr>
          <w:rtl w:val="0"/>
        </w:rPr>
        <w:t xml:space="preserve">5. Longitudinal Workforce Analysis: Permanent Jobs and Wage Quality</w:t>
      </w:r>
    </w:p>
    <w:p w:rsidR="00000000" w:rsidDel="00000000" w:rsidP="00000000" w:rsidRDefault="00000000" w:rsidRPr="00000000" w14:paraId="0000000F">
      <w:pPr>
        <w:rPr/>
      </w:pPr>
      <w:r w:rsidDel="00000000" w:rsidR="00000000" w:rsidRPr="00000000">
        <w:rPr>
          <w:rtl w:val="0"/>
        </w:rPr>
        <w:t xml:space="preserve">From a planning perspective, employment quality and permanency are superior metrics for economic health than the temporary labor surges associated with construction. While renewable projects may offer high short-term job numbers, these roles are fleeting and do not sustain a community over time.The longitudinal employment profiles demonstrate a clear advantage for baseload facilities:</w:t>
      </w:r>
    </w:p>
    <w:p w:rsidR="00000000" w:rsidDel="00000000" w:rsidP="00000000" w:rsidRDefault="00000000" w:rsidRPr="00000000" w14:paraId="00000010">
      <w:pPr>
        <w:numPr>
          <w:ilvl w:val="0"/>
          <w:numId w:val="3"/>
        </w:numPr>
        <w:ind w:left="720" w:hanging="360"/>
        <w:rPr>
          <w:u w:val="none"/>
        </w:rPr>
      </w:pPr>
      <w:r w:rsidDel="00000000" w:rsidR="00000000" w:rsidRPr="00000000">
        <w:rPr>
          <w:b w:val="1"/>
          <w:bCs w:val="1"/>
          <w:rtl w:val="0"/>
        </w:rPr>
        <w:t xml:space="preserve">Baseload Facilities:</w:t>
      </w:r>
      <w:r w:rsidDel="00000000" w:rsidR="00000000" w:rsidRPr="00000000">
        <w:rPr>
          <w:rtl w:val="0"/>
        </w:rPr>
        <w:t xml:space="preserve">  Plants such as combined-cycle gas, nuclear (including SMNRs), or hydroelectric facilities require larger permanent workforces to manage operations and maintenance over a multi-decade lifespan.</w:t>
      </w:r>
    </w:p>
    <w:p w:rsidR="00000000" w:rsidDel="00000000" w:rsidP="00000000" w:rsidRDefault="00000000" w:rsidRPr="00000000" w14:paraId="00000011">
      <w:pPr>
        <w:numPr>
          <w:ilvl w:val="0"/>
          <w:numId w:val="3"/>
        </w:numPr>
        <w:ind w:left="720" w:hanging="360"/>
        <w:rPr>
          <w:u w:val="none"/>
        </w:rPr>
      </w:pPr>
      <w:r w:rsidDel="00000000" w:rsidR="00000000" w:rsidRPr="00000000">
        <w:rPr>
          <w:b w:val="1"/>
          <w:bCs w:val="1"/>
          <w:rtl w:val="0"/>
        </w:rPr>
        <w:t xml:space="preserve">Utility-Scale Renewables:</w:t>
      </w:r>
      <w:r w:rsidDel="00000000" w:rsidR="00000000" w:rsidRPr="00000000">
        <w:rPr>
          <w:rtl w:val="0"/>
        </w:rPr>
        <w:t xml:space="preserve">  Once the construction phase concludes, the operational workforce is remarkably "thin," with a massive solar facility often requiring only a handful of monitoring technicians.Wage quality is equally critical. Baseload facilities typically offer higher, durable wages that support long-term community wealth. These positions foster durable economic relationships, as well-compensated employees spend their earnings within the county, strengthening the local service and retail sectors. A handful of low-intensity monitoring jobs cannot replicate the sustained economic stimulus provided by a permanent, highly skilled industrial workforce.</w:t>
      </w:r>
    </w:p>
    <w:p w:rsidR="00000000" w:rsidDel="00000000" w:rsidP="00000000" w:rsidRDefault="00000000" w:rsidRPr="00000000" w14:paraId="00000012">
      <w:pPr>
        <w:pStyle w:val="Heading5"/>
        <w:rPr/>
      </w:pPr>
      <w:bookmarkStart w:colFirst="0" w:colLast="0" w:name="_1o8s9xd06np3" w:id="6"/>
      <w:bookmarkEnd w:id="6"/>
      <w:r w:rsidDel="00000000" w:rsidR="00000000" w:rsidRPr="00000000">
        <w:rPr>
          <w:rtl w:val="0"/>
        </w:rPr>
        <w:t xml:space="preserve">6. Conclusion: A Community-Centered Energy Policy Framework</w:t>
      </w:r>
    </w:p>
    <w:p w:rsidR="00000000" w:rsidDel="00000000" w:rsidP="00000000" w:rsidRDefault="00000000" w:rsidRPr="00000000" w14:paraId="00000013">
      <w:pPr>
        <w:rPr/>
      </w:pPr>
      <w:r w:rsidDel="00000000" w:rsidR="00000000" w:rsidRPr="00000000">
        <w:rPr>
          <w:rtl w:val="0"/>
        </w:rPr>
        <w:t xml:space="preserve">The strategic choice for local officials is between energy projects that extract value for distant stakeholders and those that build community resilience. A protective energy policy must prioritize long-term infrastructure stability and the preservation of the agricultural tax base over transient energy trends.The findings of this analysis support  </w:t>
      </w:r>
      <w:r w:rsidDel="00000000" w:rsidR="00000000" w:rsidRPr="00000000">
        <w:rPr>
          <w:b w:val="1"/>
          <w:bCs w:val="1"/>
          <w:rtl w:val="0"/>
        </w:rPr>
        <w:t xml:space="preserve">The Three Pillars of Protective Energy Policy</w:t>
      </w:r>
      <w:r w:rsidDel="00000000" w:rsidR="00000000" w:rsidRPr="00000000">
        <w:rPr>
          <w:rtl w:val="0"/>
        </w:rPr>
        <w:t xml:space="preserve"> :</w:t>
      </w:r>
    </w:p>
    <w:p w:rsidR="00000000" w:rsidDel="00000000" w:rsidP="00000000" w:rsidRDefault="00000000" w:rsidRPr="00000000" w14:paraId="00000014">
      <w:pPr>
        <w:numPr>
          <w:ilvl w:val="0"/>
          <w:numId w:val="1"/>
        </w:numPr>
        <w:ind w:left="720" w:hanging="360"/>
        <w:rPr>
          <w:u w:val="none"/>
        </w:rPr>
      </w:pPr>
      <w:r w:rsidDel="00000000" w:rsidR="00000000" w:rsidRPr="00000000">
        <w:rPr>
          <w:b w:val="1"/>
          <w:bCs w:val="1"/>
          <w:rtl w:val="0"/>
        </w:rPr>
        <w:t xml:space="preserve">Prioritization of Dispatchable Baseload:</w:t>
      </w:r>
      <w:r w:rsidDel="00000000" w:rsidR="00000000" w:rsidRPr="00000000">
        <w:rPr>
          <w:rtl w:val="0"/>
        </w:rPr>
        <w:t xml:space="preserve">  Ensuring grid stability for small cooperatives without the "generation-defining" financial commitment and safety risks of large-scale storage.</w:t>
      </w:r>
    </w:p>
    <w:p w:rsidR="00000000" w:rsidDel="00000000" w:rsidP="00000000" w:rsidRDefault="00000000" w:rsidRPr="00000000" w14:paraId="00000015">
      <w:pPr>
        <w:numPr>
          <w:ilvl w:val="0"/>
          <w:numId w:val="1"/>
        </w:numPr>
        <w:ind w:left="720" w:hanging="360"/>
        <w:rPr>
          <w:u w:val="none"/>
        </w:rPr>
      </w:pPr>
      <w:r w:rsidDel="00000000" w:rsidR="00000000" w:rsidRPr="00000000">
        <w:rPr>
          <w:b w:val="1"/>
          <w:bCs w:val="1"/>
          <w:rtl w:val="0"/>
        </w:rPr>
        <w:t xml:space="preserve">Preservation of Prime Soils:</w:t>
      </w:r>
      <w:r w:rsidDel="00000000" w:rsidR="00000000" w:rsidRPr="00000000">
        <w:rPr>
          <w:rtl w:val="0"/>
        </w:rPr>
        <w:t xml:space="preserve">  Protecting Class I and II agricultural assets by rejecting high-footprint commercial export projects that offer little local benefit.</w:t>
      </w:r>
    </w:p>
    <w:p w:rsidR="00000000" w:rsidDel="00000000" w:rsidP="00000000" w:rsidRDefault="00000000" w:rsidRPr="00000000" w14:paraId="00000016">
      <w:pPr>
        <w:numPr>
          <w:ilvl w:val="0"/>
          <w:numId w:val="1"/>
        </w:numPr>
        <w:ind w:left="720" w:hanging="360"/>
        <w:rPr>
          <w:u w:val="none"/>
        </w:rPr>
      </w:pPr>
      <w:r w:rsidDel="00000000" w:rsidR="00000000" w:rsidRPr="00000000">
        <w:rPr>
          <w:b w:val="1"/>
          <w:bCs w:val="1"/>
          <w:rtl w:val="0"/>
        </w:rPr>
        <w:t xml:space="preserve">Support for Distributed, On-Site Solar:</w:t>
      </w:r>
      <w:r w:rsidDel="00000000" w:rsidR="00000000" w:rsidRPr="00000000">
        <w:rPr>
          <w:rtl w:val="0"/>
        </w:rPr>
        <w:t xml:space="preserve">  Validating the role of consumer-owned, rooftop, and farm-scale systems that serve local needs without consuming farmland or stressing the small grid.The adoption of rigorous, objective standards for commercial-scale projects—exemplified by the Chapter 11 ordinance amendments—is the most protective path forward for Jerome County. By distinguishing between distributed systems that serve local consumers and utility-scale projects designed for commercial export, officials can ensure that energy development aligns with local values and infrastructure realities. A balanced view rejects one-size-fits-all framing in favor of a model that protects the enduring value of the local community.</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